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rPr>
      </w:pPr>
      <w:r>
        <w:rPr>
          <w:rFonts w:hint="eastAsia" w:eastAsia="黑体"/>
          <w:b/>
          <w:bCs/>
          <w:sz w:val="84"/>
        </w:rPr>
      </w:r>
      <w:r/>
    </w:p>
    <w:p>
      <w:pPr>
        <w:pStyle w:val="9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7"/>
        <w:ind w:firstLine="2249"/>
        <w:rPr>
          <w:rFonts w:hint="eastAsia"/>
          <w:b/>
          <w:bCs/>
          <w:sz w:val="32"/>
        </w:rPr>
      </w:pPr>
      <w:r>
        <w:rPr>
          <w:rFonts w:hint="eastAsia"/>
          <w:b/>
          <w:bCs/>
          <w:sz w:val="32"/>
        </w:rPr>
      </w:r>
      <w:r/>
    </w:p>
    <w:p>
      <w:pPr>
        <w:pStyle w:val="977"/>
        <w:rPr>
          <w:rFonts w:hint="eastAsia"/>
          <w:b/>
          <w:bCs/>
          <w:sz w:val="32"/>
        </w:rPr>
      </w:pPr>
      <w:r>
        <w:rPr>
          <w:rFonts w:hint="eastAsia"/>
          <w:b/>
          <w:bCs/>
          <w:sz w:val="32"/>
        </w:rPr>
      </w:r>
      <w:r/>
    </w:p>
    <w:p>
      <w:pPr>
        <w:pStyle w:val="977"/>
        <w:ind w:left="0" w:firstLine="0"/>
        <w:jc w:val="center"/>
        <w:rPr>
          <w:rFonts w:eastAsia="宋体"/>
          <w:b/>
          <w:bCs/>
          <w:sz w:val="32"/>
          <w:lang w:val="en-US" w:eastAsia="zh-CN"/>
        </w:rPr>
      </w:pPr>
      <w:r>
        <w:rPr>
          <w:rFonts w:hint="eastAsia"/>
          <w:b/>
          <w:bCs/>
          <w:sz w:val="32"/>
        </w:rPr>
        <w:t xml:space="preserve">项目名</w:t>
      </w:r>
      <w:r>
        <w:rPr>
          <w:rFonts w:hint="eastAsia" w:ascii="Arial" w:hAnsi="Arial" w:eastAsia="宋体" w:cs="Times New Roman"/>
          <w:b/>
          <w:bCs/>
          <w:sz w:val="32"/>
        </w:rPr>
        <w:t xml:space="preserve">称：</w:t>
      </w:r>
      <w:r>
        <w:rPr>
          <w:rFonts w:hint="eastAsia"/>
          <w:b/>
          <w:bCs/>
          <w:color w:val="000000"/>
          <w:sz w:val="32"/>
          <w:highlight w:val="none"/>
        </w:rPr>
        <w:t xml:space="preserve">南通市质量技术和标准化中心质量基础设施“一站式”云服务平台改造项目</w:t>
      </w:r>
      <w:r>
        <w:rPr>
          <w:rFonts w:eastAsia="宋体"/>
          <w:b/>
          <w:bCs/>
          <w:sz w:val="32"/>
          <w:lang w:val="en-US" w:eastAsia="zh-CN"/>
        </w:rPr>
      </w:r>
      <w:r/>
    </w:p>
    <w:p>
      <w:pPr>
        <w:pStyle w:val="891"/>
        <w:jc w:val="center"/>
        <w:rPr>
          <w:b/>
          <w:color w:val="000000"/>
          <w:sz w:val="30"/>
          <w:szCs w:val="30"/>
        </w:rPr>
      </w:pPr>
      <w:r>
        <w:rPr>
          <w:rFonts w:hint="eastAsia"/>
          <w:b/>
          <w:bCs/>
          <w:color w:val="000000"/>
          <w:sz w:val="32"/>
        </w:rPr>
        <w:t xml:space="preserve">项目编号：</w:t>
      </w:r>
      <w:r>
        <w:rPr>
          <w:rFonts w:hint="eastAsia"/>
          <w:b/>
          <w:bCs/>
          <w:color w:val="000000"/>
          <w:sz w:val="32"/>
          <w:highlight w:val="none"/>
        </w:rPr>
        <w:t xml:space="preserve">JSZC-320600-JZCG-G2025-0238</w:t>
      </w:r>
      <w:r>
        <w:rPr>
          <w:b/>
          <w:color w:val="000000"/>
          <w:sz w:val="30"/>
          <w:szCs w:val="30"/>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7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77"/>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rPr>
      </w:r>
      <w:r/>
    </w:p>
    <w:p>
      <w:pPr>
        <w:pStyle w:val="977"/>
        <w:ind w:firstLine="0"/>
        <w:rPr>
          <w:rFonts w:hint="eastAsia"/>
          <w:u w:val="single"/>
        </w:rPr>
      </w:pPr>
      <w:r>
        <w:rPr>
          <w:rFonts w:hint="eastAsia"/>
        </w:rPr>
        <w:t xml:space="preserve">                        </w:t>
      </w:r>
      <w:r>
        <w:rPr>
          <w:rFonts w:hint="eastAsia"/>
          <w:u w:val="single"/>
        </w:rPr>
      </w:r>
      <w:r/>
    </w:p>
    <w:p>
      <w:pPr>
        <w:pStyle w:val="977"/>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eastAsia="方正仿宋_GBK"/>
          <w:color w:val="000000"/>
          <w:sz w:val="24"/>
          <w:szCs w:val="24"/>
          <w:highlight w:val="none"/>
        </w:rPr>
        <w:t xml:space="preserve">南通市市场监督管理局（南通市质量技术和标准化中心）</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eastAsia="方正仿宋_GBK"/>
          <w:color w:val="000000"/>
          <w:sz w:val="24"/>
          <w:szCs w:val="24"/>
          <w:highlight w:val="none"/>
          <w:lang w:eastAsia="zh-CN"/>
        </w:rPr>
        <w:t xml:space="preserve">南通市质量技术和标准化中心质量基础设施“一站式”云服务平台改造项目</w:t>
      </w:r>
      <w:r>
        <w:rPr>
          <w:rFonts w:ascii="Times New Roman" w:hAnsi="Times New Roman" w:eastAsia="方正仿宋_GBK" w:cs="Times New Roman"/>
          <w:sz w:val="24"/>
          <w:szCs w:val="24"/>
        </w:rPr>
        <w:t xml:space="preserve">(</w:t>
      </w:r>
      <w:r>
        <w:rPr>
          <w:rFonts w:hint="eastAsia" w:eastAsia="方正仿宋_GBK"/>
          <w:color w:val="000000"/>
          <w:sz w:val="24"/>
          <w:szCs w:val="24"/>
          <w:highlight w:val="none"/>
        </w:rPr>
        <w:t xml:space="preserve">JSZC-320600-JZCG-G2025-0238</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891"/>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1"/>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hint="eastAsia" w:eastAsia="方正仿宋_GBK"/>
          <w:color w:val="000000"/>
          <w:sz w:val="24"/>
          <w:szCs w:val="24"/>
          <w:highlight w:val="none"/>
          <w:u w:val="single"/>
          <w:lang w:eastAsia="zh-CN"/>
        </w:rPr>
        <w:t xml:space="preserve">南通市质量技术和标准化中心质量基础设施“一站式”云服务平台改造项目</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ascii="Times New Roman" w:hAnsi="Times New Roman" w:eastAsia="方正仿宋_GBK" w:cs="Times New Roman"/>
          <w:bCs/>
          <w:sz w:val="24"/>
          <w:szCs w:val="24"/>
          <w:highlight w:val="none"/>
          <w:u w:val="single"/>
        </w:rPr>
        <w:t xml:space="preserve">2025</w:t>
      </w:r>
      <w:r>
        <w:rPr>
          <w:rFonts w:ascii="Times New Roman" w:hAnsi="Times New Roman" w:eastAsia="方正仿宋_GBK" w:cs="Times New Roman"/>
          <w:bCs/>
          <w:sz w:val="24"/>
          <w:szCs w:val="24"/>
          <w:highlight w:val="none"/>
          <w:u w:val="single"/>
        </w:rPr>
        <w:t xml:space="preserve">年12月25日10点00分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4"/>
        <w:ind w:firstLine="498"/>
        <w:spacing w:before="145" w:after="145" w:line="360" w:lineRule="auto"/>
        <w:rPr>
          <w:rFonts w:ascii="Times New Roman" w:hAnsi="Times New Roman" w:eastAsia="方正仿宋_GBK" w:cs="Times New Roman"/>
        </w:rPr>
      </w:pPr>
      <w:r/>
      <w:bookmarkStart w:id="6" w:name="_Toc28359079"/>
      <w:r/>
      <w:bookmarkStart w:id="7" w:name="_Toc35393621"/>
      <w:r/>
      <w:bookmarkStart w:id="8" w:name="_Toc38985263"/>
      <w:r/>
      <w:bookmarkStart w:id="9" w:name="_Toc28359002"/>
      <w:r/>
      <w:bookmarkStart w:id="10" w:name="_Toc35393790"/>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1"/>
        <w:ind w:firstLine="480"/>
        <w:rPr>
          <w:rFonts w:hint="eastAsia" w:eastAsia="方正仿宋_GBK"/>
          <w:color w:val="000000"/>
          <w:sz w:val="24"/>
          <w:szCs w:val="24"/>
          <w:highlight w:val="none"/>
        </w:rPr>
      </w:pPr>
      <w:r>
        <w:rPr>
          <w:rFonts w:ascii="Times New Roman" w:hAnsi="Times New Roman" w:eastAsia="方正仿宋_GBK" w:cs="Times New Roman"/>
          <w:sz w:val="24"/>
          <w:szCs w:val="24"/>
        </w:rPr>
        <w:t xml:space="preserve">1.项目编号：</w:t>
      </w:r>
      <w:r>
        <w:rPr>
          <w:rFonts w:hint="eastAsia" w:eastAsia="方正仿宋_GBK"/>
          <w:color w:val="000000"/>
          <w:sz w:val="24"/>
          <w:szCs w:val="24"/>
          <w:highlight w:val="none"/>
        </w:rPr>
        <w:t xml:space="preserve">JSZC-320600-JZCG-G2025-0238</w:t>
      </w:r>
      <w:r>
        <w:rPr>
          <w:rFonts w:hint="eastAsia" w:eastAsia="方正仿宋_GBK"/>
          <w:color w:val="000000"/>
          <w:sz w:val="24"/>
          <w:szCs w:val="24"/>
          <w:highlight w:val="none"/>
        </w:rPr>
      </w:r>
      <w:r/>
    </w:p>
    <w:p>
      <w:pPr>
        <w:pStyle w:val="89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hint="eastAsia" w:eastAsia="方正仿宋_GBK"/>
          <w:color w:val="000000"/>
          <w:sz w:val="24"/>
          <w:szCs w:val="24"/>
          <w:highlight w:val="none"/>
          <w:lang w:eastAsia="zh-CN"/>
        </w:rPr>
        <w:t xml:space="preserve">南通市质量技术和标准化中心质量基础设施“一站式”云服务平台改造项目</w:t>
      </w:r>
      <w:r>
        <w:rPr>
          <w:rFonts w:ascii="Times New Roman" w:hAnsi="Times New Roman" w:eastAsia="方正仿宋_GBK" w:cs="Times New Roman"/>
          <w:sz w:val="24"/>
          <w:szCs w:val="24"/>
        </w:rPr>
      </w:r>
      <w:r/>
    </w:p>
    <w:p>
      <w:pPr>
        <w:pStyle w:val="891"/>
        <w:ind w:firstLine="480"/>
        <w:rPr>
          <w:rFonts w:hint="eastAsia" w:eastAsia="方正仿宋_GBK"/>
          <w:color w:val="000000"/>
          <w:sz w:val="24"/>
          <w:szCs w:val="24"/>
          <w:highlight w:val="none"/>
          <w:lang w:val="en-US" w:eastAsia="zh-CN"/>
        </w:rPr>
      </w:pPr>
      <w:r/>
      <w:bookmarkEnd w:id="11"/>
      <w:r>
        <w:rPr>
          <w:rFonts w:ascii="Times New Roman" w:hAnsi="Times New Roman" w:eastAsia="方正仿宋_GBK" w:cs="Times New Roman"/>
          <w:sz w:val="24"/>
          <w:szCs w:val="24"/>
        </w:rPr>
        <w:t xml:space="preserve">3.预算金额：</w:t>
      </w:r>
      <w:r>
        <w:rPr>
          <w:rFonts w:hint="eastAsia" w:eastAsia="方正仿宋_GBK"/>
          <w:color w:val="000000"/>
          <w:sz w:val="24"/>
          <w:szCs w:val="24"/>
          <w:highlight w:val="none"/>
          <w:lang w:val="en-US" w:eastAsia="zh-CN"/>
        </w:rPr>
        <w:t xml:space="preserve">40万</w:t>
      </w:r>
      <w:r>
        <w:rPr>
          <w:rFonts w:hint="eastAsia" w:eastAsia="方正仿宋_GBK"/>
          <w:color w:val="000000"/>
          <w:sz w:val="24"/>
          <w:szCs w:val="24"/>
          <w:highlight w:val="none"/>
          <w:lang w:val="en-US" w:eastAsia="zh-CN"/>
        </w:rPr>
      </w:r>
      <w:r/>
    </w:p>
    <w:p>
      <w:pPr>
        <w:pStyle w:val="891"/>
        <w:ind w:firstLine="480"/>
        <w:rPr>
          <w:rFonts w:ascii="Times New Roman" w:hAnsi="Times New Roman" w:eastAsia="方正仿宋_GBK" w:cs="Times New Roman"/>
          <w:sz w:val="24"/>
          <w:szCs w:val="24"/>
          <w:highlight w:val="yellow"/>
        </w:rPr>
      </w:pPr>
      <w:r>
        <w:rPr>
          <w:rFonts w:hint="eastAsia" w:eastAsia="方正仿宋_GBK"/>
          <w:color w:val="000000"/>
          <w:sz w:val="24"/>
          <w:szCs w:val="24"/>
          <w:highlight w:val="none"/>
          <w:lang w:val="en-US" w:eastAsia="zh-CN"/>
        </w:rPr>
        <w:t xml:space="preserve">4.</w:t>
      </w:r>
      <w:r>
        <w:rPr>
          <w:rFonts w:ascii="Times New Roman" w:hAnsi="Times New Roman" w:eastAsia="方正仿宋_GBK" w:cs="Times New Roman"/>
          <w:sz w:val="24"/>
          <w:szCs w:val="24"/>
        </w:rPr>
        <w:t xml:space="preserve">本项目设定最高限价，最高限价为</w:t>
      </w:r>
      <w:r>
        <w:rPr>
          <w:rFonts w:ascii="Times New Roman" w:hAnsi="Times New Roman" w:eastAsia="方正仿宋_GBK" w:cs="Times New Roman"/>
          <w:sz w:val="24"/>
          <w:szCs w:val="24"/>
          <w:u w:val="single"/>
        </w:rPr>
        <w:t xml:space="preserve"> 40 </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891"/>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eastAsia="方正仿宋_GBK"/>
          <w:color w:val="000000"/>
          <w:sz w:val="24"/>
          <w:szCs w:val="24"/>
          <w:highlight w:val="none"/>
        </w:rPr>
        <w:t xml:space="preserve">根据国家、省、市关于安全可靠应用和国产化改造要求，实施南通质量基础设施“一站式”服务（市事通·通通检）平台信创改造工作。</w:t>
      </w:r>
      <w:r>
        <w:rPr>
          <w:rFonts w:eastAsia="方正仿宋_GBK"/>
          <w:color w:val="000000"/>
          <w:sz w:val="24"/>
          <w:szCs w:val="24"/>
          <w:highlight w:val="none"/>
        </w:rPr>
        <w:t xml:space="preserve">（详细内容见本招标文件第四章）</w:t>
      </w:r>
      <w:r>
        <w:rPr>
          <w:rFonts w:ascii="Times New Roman" w:hAnsi="Times New Roman" w:eastAsia="方正仿宋_GBK" w:cs="Times New Roman"/>
          <w:sz w:val="24"/>
          <w:szCs w:val="24"/>
          <w:u w:val="single"/>
        </w:rPr>
      </w:r>
      <w:r/>
    </w:p>
    <w:p>
      <w:pPr>
        <w:pStyle w:val="891"/>
        <w:ind w:firstLine="480"/>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6.合同履行期限：</w:t>
      </w:r>
      <w:r>
        <w:rPr>
          <w:rFonts w:eastAsia="方正仿宋_GBK"/>
          <w:color w:val="000000"/>
          <w:sz w:val="24"/>
          <w:szCs w:val="24"/>
          <w:highlight w:val="none"/>
        </w:rPr>
        <w:t xml:space="preserve">详细内容见本招标文件第四章</w:t>
      </w:r>
      <w:r>
        <w:rPr>
          <w:rFonts w:ascii="Times New Roman" w:hAnsi="Times New Roman" w:eastAsia="方正仿宋_GBK" w:cs="Times New Roman"/>
          <w:sz w:val="24"/>
          <w:szCs w:val="24"/>
          <w:u w:val="single"/>
          <w:lang w:val="en-US" w:eastAsia="zh-CN"/>
        </w:rPr>
      </w:r>
      <w:r/>
    </w:p>
    <w:p>
      <w:pPr>
        <w:pStyle w:val="894"/>
        <w:ind w:firstLine="498"/>
        <w:spacing w:before="145" w:after="145" w:line="360" w:lineRule="auto"/>
        <w:rPr>
          <w:rFonts w:ascii="Times New Roman" w:hAnsi="Times New Roman" w:eastAsia="方正仿宋_GBK" w:cs="Times New Roman"/>
        </w:rPr>
      </w:pPr>
      <w:r/>
      <w:bookmarkStart w:id="12" w:name="_Toc35393622"/>
      <w:r/>
      <w:bookmarkStart w:id="13" w:name="_Toc28359080"/>
      <w:r/>
      <w:bookmarkStart w:id="14" w:name="_Toc35393791"/>
      <w:r/>
      <w:bookmarkStart w:id="15" w:name="_Toc28359003"/>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1"/>
        <w:ind w:firstLine="480"/>
        <w:rPr>
          <w:rFonts w:ascii="Times New Roman" w:hAnsi="Times New Roman" w:eastAsia="方正仿宋_GBK" w:cs="Times New Roman"/>
          <w:sz w:val="24"/>
          <w:szCs w:val="24"/>
        </w:rPr>
      </w:pPr>
      <w:r/>
      <w:bookmarkStart w:id="17" w:name="_Toc35393792"/>
      <w:r/>
      <w:bookmarkStart w:id="18" w:name="_Toc38985265"/>
      <w:r/>
      <w:bookmarkStart w:id="19" w:name="_Toc28359081"/>
      <w:r/>
      <w:bookmarkStart w:id="20" w:name="_Toc28359004"/>
      <w:r/>
      <w:bookmarkStart w:id="21" w:name="_Toc35393623"/>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1"/>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1"/>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1"/>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4"/>
          <w:szCs w:val="24"/>
          <w:highlight w:val="none"/>
        </w:rPr>
      </w:r>
      <w:r/>
    </w:p>
    <w:p>
      <w:pPr>
        <w:pStyle w:val="891"/>
        <w:ind w:firstLine="480"/>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1"/>
        <w:numPr>
          <w:ilvl w:val="0"/>
          <w:numId w:val="0"/>
        </w:numPr>
        <w:ind w:left="0" w:firstLine="480"/>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89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1"/>
        <w:ind w:firstLine="480"/>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无</w:t>
      </w:r>
      <w:r>
        <w:rPr>
          <w:rFonts w:hint="eastAsia" w:ascii="Times New Roman" w:hAnsi="Times New Roman" w:eastAsia="方正仿宋_GBK" w:cs="Times New Roman"/>
          <w:sz w:val="24"/>
          <w:szCs w:val="24"/>
          <w:highlight w:val="none"/>
          <w:lang w:val="en-US" w:eastAsia="zh-CN"/>
        </w:rPr>
      </w:r>
      <w:r/>
    </w:p>
    <w:p>
      <w:pPr>
        <w:pStyle w:val="89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1"/>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1"/>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89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1"/>
        <w:ind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u w:val="single"/>
        </w:rPr>
        <w:t xml:space="preserve">1.</w:t>
      </w:r>
      <w:r>
        <w:rPr>
          <w:rFonts w:ascii="Times New Roman" w:hAnsi="Times New Roman" w:eastAsia="方正仿宋_GBK" w:cs="Times New Roman"/>
          <w:bCs/>
          <w:sz w:val="24"/>
          <w:szCs w:val="24"/>
          <w:highlight w:val="yellow"/>
          <w:u w:val="single"/>
        </w:rPr>
      </w:r>
      <w:r>
        <w:rPr>
          <w:rFonts w:ascii="Times New Roman" w:hAnsi="Times New Roman" w:eastAsia="方正仿宋_GBK" w:cs="Times New Roman"/>
          <w:sz w:val="24"/>
          <w:szCs w:val="24"/>
        </w:rPr>
      </w:r>
      <w:r>
        <w:rPr>
          <w:rFonts w:ascii="Times New Roman" w:hAnsi="Times New Roman" w:eastAsia="方正仿宋_GBK" w:cs="Times New Roman"/>
          <w:bCs/>
          <w:sz w:val="24"/>
          <w:szCs w:val="24"/>
          <w:highlight w:val="none"/>
          <w:u w:val="single"/>
        </w:rPr>
        <w:t xml:space="preserve">2025</w:t>
      </w:r>
      <w:r>
        <w:rPr>
          <w:rFonts w:ascii="Times New Roman" w:hAnsi="Times New Roman" w:eastAsia="方正仿宋_GBK" w:cs="Times New Roman"/>
          <w:bCs/>
          <w:sz w:val="24"/>
          <w:szCs w:val="24"/>
          <w:highlight w:val="none"/>
          <w:u w:val="single"/>
        </w:rPr>
        <w:t xml:space="preserve">年12月25日10点00分</w:t>
      </w:r>
      <w:r/>
      <w:r>
        <w:rPr>
          <w:rFonts w:ascii="Times New Roman" w:hAnsi="Times New Roman" w:eastAsia="方正仿宋_GBK" w:cs="Times New Roman"/>
          <w:bCs/>
          <w:sz w:val="24"/>
          <w:szCs w:val="24"/>
          <w:highlight w:val="yellow"/>
          <w:u w:val="single"/>
        </w:rPr>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sz w:val="24"/>
          <w:szCs w:val="24"/>
        </w:rPr>
      </w:r>
      <w:r/>
    </w:p>
    <w:p>
      <w:pPr>
        <w:pStyle w:val="891"/>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894"/>
        <w:ind w:firstLine="498"/>
        <w:spacing w:before="145" w:after="145" w:line="360" w:lineRule="auto"/>
        <w:rPr>
          <w:rFonts w:ascii="Times New Roman" w:hAnsi="Times New Roman" w:eastAsia="方正仿宋_GBK" w:cs="Times New Roman"/>
        </w:rPr>
      </w:pPr>
      <w:r/>
      <w:bookmarkStart w:id="27" w:name="_Toc35393625"/>
      <w:r/>
      <w:bookmarkStart w:id="28" w:name="_Toc28359084"/>
      <w:r/>
      <w:bookmarkStart w:id="29" w:name="_Toc38985267"/>
      <w:r/>
      <w:bookmarkStart w:id="30" w:name="_Toc28359007"/>
      <w:r/>
      <w:bookmarkStart w:id="31" w:name="_Toc3539379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1"/>
        <w:ind w:firstLine="480"/>
        <w:rPr>
          <w:rFonts w:ascii="Times New Roman" w:hAnsi="Times New Roman" w:eastAsia="方正仿宋_GBK" w:cs="Times New Roman"/>
          <w:sz w:val="24"/>
          <w:szCs w:val="24"/>
        </w:rPr>
      </w:pPr>
      <w:r/>
      <w:bookmarkStart w:id="32" w:name="_Toc35393626"/>
      <w:r/>
      <w:bookmarkStart w:id="33" w:name="_Toc35393795"/>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89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1"/>
        <w:ind w:firstLine="480"/>
        <w:spacing w:line="480" w:lineRule="exact"/>
        <w:rPr>
          <w:rFonts w:ascii="Times New Roman" w:hAnsi="Times New Roman" w:eastAsia="方正仿宋_GBK" w:cs="Times New Roman"/>
          <w:sz w:val="24"/>
          <w:szCs w:val="24"/>
        </w:rPr>
      </w:pPr>
      <w:r/>
      <w:bookmarkStart w:id="35" w:name="_Toc35393796"/>
      <w:r/>
      <w:bookmarkStart w:id="36" w:name="_Toc28359085"/>
      <w:r/>
      <w:bookmarkStart w:id="37" w:name="_Toc28359008"/>
      <w:r/>
      <w:bookmarkStart w:id="38" w:name="_Toc38985269"/>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891"/>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1"/>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none"/>
          <w:lang w:val="en-US" w:eastAsia="zh-CN"/>
        </w:rPr>
        <w:t xml:space="preserve">(补充目录外）</w:t>
      </w:r>
      <w:r>
        <w:rPr>
          <w:rFonts w:ascii="Times New Roman" w:hAnsi="Times New Roman" w:eastAsia="方正仿宋_GBK" w:cs="Times New Roman"/>
          <w:sz w:val="24"/>
          <w:szCs w:val="24"/>
          <w:highlight w:val="red"/>
          <w:lang w:val="en-US" w:eastAsia="zh-CN"/>
        </w:rPr>
      </w:r>
      <w:r/>
    </w:p>
    <w:p>
      <w:pPr>
        <w:pStyle w:val="891"/>
        <w:numPr>
          <w:ilvl w:val="0"/>
          <w:numId w:val="0"/>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bidi="ar-SA"/>
        </w:rPr>
        <w:t xml:space="preserve">4.</w:t>
      </w: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1"/>
        <w:numPr>
          <w:ilvl w:val="0"/>
          <w:numId w:val="0"/>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lang w:val="en-US" w:eastAsia="zh-CN" w:bidi="ar-SA"/>
        </w:rPr>
        <w:t xml:space="preserve">5.</w:t>
      </w: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89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1"/>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南通市质量技术和标准化中心　</w:t>
      </w:r>
      <w:r>
        <w:rPr>
          <w:rFonts w:ascii="Times New Roman" w:hAnsi="Times New Roman" w:eastAsia="方正仿宋_GBK" w:cs="Times New Roman"/>
          <w:sz w:val="24"/>
          <w:szCs w:val="24"/>
        </w:rPr>
      </w:r>
      <w:r/>
    </w:p>
    <w:p>
      <w:pPr>
        <w:pStyle w:val="891"/>
        <w:ind w:left="1079" w:hanging="300"/>
        <w:jc w:val="left"/>
        <w:spacing w:line="360" w:lineRule="auto"/>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rPr>
        <w:t xml:space="preserve">南通市濠东路15号 　　　</w:t>
      </w:r>
      <w:r>
        <w:rPr>
          <w:rFonts w:hint="eastAsia" w:eastAsia="方正仿宋_GBK" w:cs="Times New Roman"/>
          <w:sz w:val="24"/>
          <w:szCs w:val="24"/>
          <w:u w:val="single"/>
          <w:lang w:val="en-US" w:eastAsia="zh-CN"/>
        </w:rPr>
        <w:t xml:space="preserve"> </w:t>
      </w:r>
      <w:r>
        <w:rPr>
          <w:rFonts w:hint="eastAsia" w:ascii="Times New Roman" w:hAnsi="Times New Roman" w:eastAsia="方正仿宋_GBK" w:cs="Times New Roman"/>
          <w:sz w:val="24"/>
          <w:szCs w:val="24"/>
          <w:lang w:val="en-US" w:eastAsia="zh-CN"/>
        </w:rPr>
      </w:r>
      <w:r/>
    </w:p>
    <w:p>
      <w:pPr>
        <w:pStyle w:val="89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李先生             </w:t>
      </w:r>
      <w:r>
        <w:rPr>
          <w:rFonts w:ascii="Times New Roman" w:hAnsi="Times New Roman" w:eastAsia="方正仿宋_GBK" w:cs="Times New Roman"/>
          <w:sz w:val="24"/>
          <w:szCs w:val="24"/>
        </w:rPr>
      </w:r>
      <w:r/>
    </w:p>
    <w:p>
      <w:pPr>
        <w:pStyle w:val="891"/>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0513-85101118　　　　　</w:t>
      </w:r>
      <w:bookmarkStart w:id="40" w:name="_Toc28359086"/>
      <w:r/>
      <w:bookmarkStart w:id="41" w:name="_Toc28359009"/>
      <w:r>
        <w:rPr>
          <w:rFonts w:ascii="Times New Roman" w:hAnsi="Times New Roman" w:eastAsia="方正仿宋_GBK" w:cs="Times New Roman"/>
          <w:sz w:val="24"/>
          <w:szCs w:val="24"/>
          <w:u w:val="single"/>
        </w:rPr>
      </w:r>
      <w:r/>
    </w:p>
    <w:p>
      <w:pPr>
        <w:pStyle w:val="89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1"/>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徐女士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1"/>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893"/>
        <w:ind w:firstLine="2429"/>
        <w:jc w:val="both"/>
        <w:pageBreakBefore/>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360" w:lineRule="auto"/>
        <w:rPr>
          <w:rFonts w:ascii="Times New Roman" w:hAnsi="Times New Roman" w:eastAsia="方正仿宋_GBK" w:cs="Times New Roman"/>
        </w:rPr>
      </w:pPr>
      <w:r/>
      <w:bookmarkStart w:id="49" w:name="_Toc120614214"/>
      <w:r/>
      <w:bookmarkStart w:id="50" w:name="_Toc513029203"/>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895"/>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895"/>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bookmarkStart w:id="61" w:name="_Toc513029206"/>
      <w:r/>
      <w:bookmarkStart w:id="62" w:name="_Toc16938522"/>
      <w:r/>
      <w:bookmarkStart w:id="63" w:name="_Toc20823278"/>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891"/>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895"/>
        <w:ind w:firstLine="420"/>
        <w:spacing w:before="0" w:after="0" w:line="240" w:lineRule="auto"/>
        <w:rPr>
          <w:rFonts w:ascii="Times New Roman" w:hAnsi="Times New Roman" w:eastAsia="方正仿宋_GBK" w:cs="Times New Roman"/>
          <w:b w:val="0"/>
          <w:bCs w:val="0"/>
        </w:rPr>
      </w:pPr>
      <w:r/>
      <w:bookmarkStart w:id="64" w:name="_Toc20823279"/>
      <w:r/>
      <w:bookmarkStart w:id="65" w:name="_Toc16938523"/>
      <w:r/>
      <w:bookmarkStart w:id="66" w:name="_Toc513029207"/>
      <w:r/>
      <w:bookmarkStart w:id="67" w:name="_Toc462564067"/>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895"/>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894"/>
        <w:ind w:firstLine="321"/>
        <w:spacing w:before="145" w:after="145" w:line="360" w:lineRule="auto"/>
        <w:rPr>
          <w:rFonts w:ascii="Times New Roman" w:hAnsi="Times New Roman" w:eastAsia="方正仿宋_GBK" w:cs="Times New Roman"/>
        </w:rPr>
      </w:pPr>
      <w:r/>
      <w:bookmarkStart w:id="68" w:name="_Toc20823281"/>
      <w:r/>
      <w:bookmarkStart w:id="69" w:name="_Toc16938525"/>
      <w:r/>
      <w:bookmarkStart w:id="70" w:name="_Toc120614215"/>
      <w:r/>
      <w:bookmarkStart w:id="71" w:name="_Toc513029209"/>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895"/>
        <w:ind w:firstLine="420"/>
        <w:spacing w:before="0" w:after="0" w:line="240" w:lineRule="auto"/>
        <w:rPr>
          <w:rFonts w:ascii="Times New Roman" w:hAnsi="Times New Roman" w:eastAsia="方正仿宋_GBK" w:cs="Times New Roman"/>
          <w:b w:val="0"/>
          <w:bCs w:val="0"/>
        </w:rPr>
      </w:pPr>
      <w:r/>
      <w:bookmarkStart w:id="72" w:name="_Toc513029210"/>
      <w:r/>
      <w:bookmarkStart w:id="73" w:name="_Toc16938526"/>
      <w:r/>
      <w:bookmarkStart w:id="74" w:name="_Toc20823282"/>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1"/>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895"/>
        <w:ind w:firstLine="560"/>
        <w:spacing w:before="0" w:after="0" w:line="240" w:lineRule="auto"/>
        <w:rPr>
          <w:rFonts w:ascii="Times New Roman" w:hAnsi="Times New Roman" w:eastAsia="方正仿宋_GBK" w:cs="Times New Roman"/>
          <w:b w:val="0"/>
          <w:bCs w:val="0"/>
        </w:rPr>
      </w:pPr>
      <w:r/>
      <w:bookmarkStart w:id="75" w:name="_Toc462564070"/>
      <w:r/>
      <w:bookmarkStart w:id="76" w:name="_Toc16938527"/>
      <w:r/>
      <w:bookmarkStart w:id="77" w:name="_Toc513029211"/>
      <w:r/>
      <w:bookmarkStart w:id="78" w:name="_Toc20823283"/>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891"/>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895"/>
        <w:ind w:firstLine="560"/>
        <w:spacing w:before="0" w:after="0" w:line="240" w:lineRule="auto"/>
        <w:rPr>
          <w:rFonts w:ascii="Times New Roman" w:hAnsi="Times New Roman" w:eastAsia="方正仿宋_GBK" w:cs="Times New Roman"/>
          <w:b w:val="0"/>
          <w:bCs w:val="0"/>
        </w:rPr>
      </w:pPr>
      <w:r/>
      <w:bookmarkStart w:id="79" w:name="_Toc16938528"/>
      <w:r/>
      <w:bookmarkStart w:id="80" w:name="_Toc20823284"/>
      <w:r/>
      <w:bookmarkStart w:id="81" w:name="_Toc462564071"/>
      <w:r/>
      <w:bookmarkStart w:id="82" w:name="_Toc513029212"/>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894"/>
        <w:ind w:firstLine="482"/>
        <w:spacing w:before="145" w:after="145" w:line="360" w:lineRule="auto"/>
        <w:rPr>
          <w:rFonts w:ascii="Times New Roman" w:hAnsi="Times New Roman" w:eastAsia="方正仿宋_GBK" w:cs="Times New Roman"/>
        </w:rPr>
      </w:pPr>
      <w:r/>
      <w:bookmarkStart w:id="83" w:name="_Toc462564072"/>
      <w:r/>
      <w:bookmarkStart w:id="84" w:name="_Toc16938529"/>
      <w:r/>
      <w:bookmarkStart w:id="85" w:name="_Toc120614216"/>
      <w:r/>
      <w:bookmarkStart w:id="86" w:name="_Toc513029213"/>
      <w:r/>
      <w:bookmarkStart w:id="87" w:name="_Toc20823285"/>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895"/>
        <w:ind w:firstLine="280"/>
        <w:spacing w:before="0" w:after="0" w:line="240" w:lineRule="auto"/>
        <w:rPr>
          <w:rFonts w:ascii="Times New Roman" w:hAnsi="Times New Roman" w:eastAsia="方正仿宋_GBK" w:cs="Times New Roman"/>
          <w:bCs w:val="0"/>
        </w:rPr>
      </w:pPr>
      <w:r/>
      <w:bookmarkStart w:id="88" w:name="_Toc462564073"/>
      <w:r/>
      <w:bookmarkStart w:id="89" w:name="_Toc20823286"/>
      <w:r/>
      <w:bookmarkStart w:id="90" w:name="_Toc513029214"/>
      <w:r/>
      <w:bookmarkStart w:id="91" w:name="_Toc16938530"/>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895"/>
        <w:ind w:firstLine="420"/>
        <w:spacing w:before="0" w:after="0" w:line="240" w:lineRule="auto"/>
        <w:rPr>
          <w:rFonts w:ascii="Times New Roman" w:hAnsi="Times New Roman" w:eastAsia="方正仿宋_GBK" w:cs="Times New Roman"/>
          <w:b w:val="0"/>
          <w:bCs w:val="0"/>
        </w:rPr>
      </w:pPr>
      <w:r/>
      <w:bookmarkStart w:id="92" w:name="_Toc513029215"/>
      <w:r/>
      <w:bookmarkStart w:id="93" w:name="_Toc16938531"/>
      <w:r/>
      <w:bookmarkStart w:id="94" w:name="_Toc462564074"/>
      <w:r/>
      <w:bookmarkStart w:id="95" w:name="_Toc20823287"/>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89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895"/>
        <w:ind w:firstLine="420"/>
        <w:spacing w:before="0" w:after="0" w:line="240" w:lineRule="auto"/>
        <w:rPr>
          <w:rFonts w:ascii="Times New Roman" w:hAnsi="Times New Roman" w:eastAsia="方正仿宋_GBK" w:cs="Times New Roman"/>
          <w:b w:val="0"/>
          <w:bCs w:val="0"/>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891"/>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895"/>
        <w:ind w:firstLine="420"/>
        <w:spacing w:before="0" w:after="0" w:line="240" w:lineRule="auto"/>
        <w:rPr>
          <w:rFonts w:ascii="Times New Roman" w:hAnsi="Times New Roman" w:eastAsia="方正仿宋_GBK" w:cs="Times New Roman"/>
          <w:b w:val="0"/>
          <w:bCs w:val="0"/>
        </w:rPr>
      </w:pPr>
      <w:r/>
      <w:bookmarkStart w:id="110" w:name="_Hlt26670486"/>
      <w:r/>
      <w:bookmarkEnd w:id="110"/>
      <w:r/>
      <w:bookmarkStart w:id="111" w:name="_Hlt26954731"/>
      <w:r/>
      <w:bookmarkEnd w:id="111"/>
      <w:r/>
      <w:bookmarkStart w:id="112" w:name="_Hlt26668983"/>
      <w:r/>
      <w:bookmarkEnd w:id="112"/>
      <w:r/>
      <w:bookmarkStart w:id="113" w:name="_Hlt26670403"/>
      <w:r/>
      <w:bookmarkEnd w:id="113"/>
      <w:r/>
      <w:bookmarkStart w:id="114" w:name="_Hlt26670425"/>
      <w:r/>
      <w:bookmarkEnd w:id="114"/>
      <w:r/>
      <w:bookmarkStart w:id="115" w:name="_Hlt26954842"/>
      <w:r/>
      <w:bookmarkEnd w:id="115"/>
      <w:r/>
      <w:bookmarkStart w:id="116" w:name="_Hlt26670482"/>
      <w:r/>
      <w:bookmarkEnd w:id="116"/>
      <w:r/>
      <w:bookmarkStart w:id="117" w:name="_Hlt26954844"/>
      <w:r/>
      <w:bookmarkEnd w:id="117"/>
      <w:r/>
      <w:bookmarkStart w:id="118" w:name="_Hlt26954846"/>
      <w:r/>
      <w:bookmarkEnd w:id="118"/>
      <w:r/>
      <w:bookmarkStart w:id="119" w:name="_Hlt26954848"/>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1"/>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895"/>
        <w:ind w:firstLine="420"/>
        <w:spacing w:before="0" w:after="0" w:line="240" w:lineRule="auto"/>
        <w:rPr>
          <w:rFonts w:ascii="Times New Roman" w:hAnsi="Times New Roman" w:eastAsia="方正仿宋_GBK" w:cs="Times New Roman"/>
          <w:b w:val="0"/>
          <w:bCs w:val="0"/>
        </w:rPr>
      </w:pPr>
      <w:r/>
      <w:bookmarkStart w:id="120" w:name="_Toc14577359"/>
      <w:r/>
      <w:bookmarkStart w:id="121" w:name="_Toc49090510"/>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895"/>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89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894"/>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16938540"/>
      <w:r/>
      <w:bookmarkStart w:id="130" w:name="_Toc513029224"/>
      <w:r/>
      <w:bookmarkStart w:id="131" w:name="_Toc120614217"/>
      <w:r/>
      <w:bookmarkStart w:id="132" w:name="_Toc20823296"/>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895"/>
        <w:ind w:firstLine="560"/>
        <w:spacing w:before="0" w:after="0" w:line="240" w:lineRule="auto"/>
        <w:rPr>
          <w:rFonts w:ascii="Times New Roman" w:hAnsi="Times New Roman" w:eastAsia="方正仿宋_GBK" w:cs="Times New Roman"/>
          <w:b w:val="0"/>
          <w:bCs w:val="0"/>
        </w:rPr>
      </w:pPr>
      <w:r/>
      <w:bookmarkStart w:id="133" w:name="_Toc513029225"/>
      <w:r/>
      <w:bookmarkStart w:id="134" w:name="_Toc20823297"/>
      <w:r/>
      <w:bookmarkStart w:id="135" w:name="_Toc462564084"/>
      <w:r/>
      <w:bookmarkStart w:id="136" w:name="_Toc16938541"/>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02"/>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16938542"/>
      <w:r/>
      <w:bookmarkStart w:id="138" w:name="_Toc20823298"/>
      <w:r/>
      <w:bookmarkStart w:id="139" w:name="_Toc513029226"/>
      <w:r>
        <w:rPr>
          <w:rFonts w:ascii="Times New Roman" w:hAnsi="Times New Roman" w:eastAsia="方正仿宋_GBK" w:cs="Times New Roman"/>
          <w:bCs/>
          <w:sz w:val="24"/>
        </w:rPr>
      </w:r>
      <w:r/>
    </w:p>
    <w:p>
      <w:pPr>
        <w:pStyle w:val="895"/>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1"/>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895"/>
        <w:ind w:firstLine="420"/>
        <w:spacing w:before="0" w:after="0" w:line="240" w:lineRule="auto"/>
        <w:rPr>
          <w:rFonts w:ascii="Times New Roman" w:hAnsi="Times New Roman" w:eastAsia="方正仿宋_GBK" w:cs="Times New Roman"/>
          <w:b w:val="0"/>
          <w:bCs w:val="0"/>
        </w:rPr>
      </w:pPr>
      <w:r/>
      <w:bookmarkStart w:id="140" w:name="_Toc16938543"/>
      <w:r/>
      <w:bookmarkStart w:id="141" w:name="_Toc513029227"/>
      <w:r/>
      <w:bookmarkStart w:id="142" w:name="_Toc20823299"/>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895"/>
        <w:ind w:firstLine="420"/>
        <w:spacing w:before="0" w:after="0" w:line="240" w:lineRule="auto"/>
        <w:rPr>
          <w:rFonts w:ascii="Times New Roman" w:hAnsi="Times New Roman" w:eastAsia="方正仿宋_GBK" w:cs="Times New Roman"/>
          <w:b w:val="0"/>
          <w:bCs w:val="0"/>
        </w:rPr>
      </w:pPr>
      <w:r/>
      <w:bookmarkStart w:id="143" w:name="_Toc20823300"/>
      <w:r/>
      <w:bookmarkStart w:id="144" w:name="_Toc513029228"/>
      <w:r/>
      <w:bookmarkStart w:id="145" w:name="_Toc16938544"/>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89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894"/>
        <w:ind w:firstLine="482"/>
        <w:spacing w:before="145" w:after="145" w:line="360" w:lineRule="auto"/>
        <w:rPr>
          <w:rFonts w:ascii="Times New Roman" w:hAnsi="Times New Roman" w:eastAsia="方正仿宋_GBK" w:cs="Times New Roman"/>
        </w:rPr>
      </w:pPr>
      <w:r/>
      <w:bookmarkStart w:id="146" w:name="_Toc16938545"/>
      <w:r/>
      <w:bookmarkStart w:id="147" w:name="_Toc513029229"/>
      <w:r/>
      <w:bookmarkStart w:id="148" w:name="_Toc120614218"/>
      <w:r/>
      <w:bookmarkStart w:id="149" w:name="_Toc20823301"/>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895"/>
        <w:ind w:firstLine="420"/>
        <w:spacing w:before="0" w:after="0" w:line="240" w:lineRule="auto"/>
        <w:rPr>
          <w:rFonts w:ascii="Times New Roman" w:hAnsi="Times New Roman" w:eastAsia="方正仿宋_GBK" w:cs="Times New Roman"/>
          <w:b w:val="0"/>
          <w:bCs w:val="0"/>
        </w:rPr>
      </w:pPr>
      <w:r/>
      <w:bookmarkStart w:id="150" w:name="_Toc20823302"/>
      <w:r/>
      <w:bookmarkStart w:id="151" w:name="_Toc513029230"/>
      <w:r/>
      <w:bookmarkStart w:id="152" w:name="_Toc16938546"/>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891"/>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1"/>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1"/>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bookmarkStart w:id="153" w:name="_Toc513029231"/>
      <w:r/>
      <w:bookmarkStart w:id="154" w:name="_Toc16938547"/>
      <w:r/>
      <w:bookmarkStart w:id="155"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1"/>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1"/>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bookmarkStart w:id="156" w:name="_Toc513029232"/>
      <w:r/>
      <w:bookmarkStart w:id="157" w:name="_Toc20823304"/>
      <w:r/>
      <w:bookmarkStart w:id="158" w:name="_Toc16938548"/>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1"/>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895"/>
        <w:ind w:firstLine="420"/>
        <w:spacing w:before="0" w:after="0" w:line="240" w:lineRule="auto"/>
        <w:rPr>
          <w:rFonts w:ascii="Times New Roman" w:hAnsi="Times New Roman" w:eastAsia="方正仿宋_GBK" w:cs="Times New Roman"/>
          <w:b w:val="0"/>
          <w:bCs w:val="0"/>
        </w:rPr>
      </w:pPr>
      <w:r/>
      <w:bookmarkStart w:id="159" w:name="_Toc20823305"/>
      <w:r/>
      <w:bookmarkStart w:id="160" w:name="_Toc16938549"/>
      <w:r/>
      <w:bookmarkStart w:id="161" w:name="_Toc513029233"/>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1"/>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1"/>
        <w:ind w:firstLine="420"/>
        <w:spacing w:line="460" w:lineRule="exact"/>
        <w:rPr>
          <w:rFonts w:ascii="Times New Roman" w:hAnsi="Times New Roman" w:eastAsia="方正仿宋_GBK" w:cs="Times New Roman"/>
          <w:b/>
          <w:bCs/>
          <w:lang w:val="en-US" w:eastAsia="zh-CN"/>
        </w:rPr>
      </w:pPr>
      <w:r/>
      <w:bookmarkStart w:id="162" w:name="_Toc16938550"/>
      <w:r/>
      <w:bookmarkStart w:id="163" w:name="_Toc20823306"/>
      <w:r/>
      <w:bookmarkStart w:id="164"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895"/>
        <w:numPr>
          <w:ilvl w:val="0"/>
          <w:numId w:val="5"/>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1"/>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89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89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89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89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89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1"/>
        <w:ind w:left="479"/>
        <w:spacing w:line="440" w:lineRule="exact"/>
        <w:rPr>
          <w:rFonts w:ascii="Times New Roman" w:hAnsi="Times New Roman" w:eastAsia="方正仿宋_GBK" w:cs="Times New Roman"/>
          <w:bCs/>
          <w:sz w:val="24"/>
        </w:rPr>
      </w:pPr>
      <w:r/>
      <w:bookmarkStart w:id="165" w:name="_Toc513029235"/>
      <w:r/>
      <w:bookmarkStart w:id="166" w:name="_Toc16938551"/>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1"/>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1"/>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891"/>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894"/>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895"/>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16938554"/>
      <w:r/>
      <w:bookmarkStart w:id="171"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89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1"/>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89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894"/>
        <w:spacing w:before="145" w:after="145" w:line="360" w:lineRule="auto"/>
        <w:rPr>
          <w:rFonts w:ascii="Times New Roman" w:hAnsi="Times New Roman" w:eastAsia="方正仿宋_GBK" w:cs="Times New Roman"/>
        </w:rPr>
      </w:pPr>
      <w:r/>
      <w:bookmarkStart w:id="173" w:name="_Toc120614220"/>
      <w:r/>
      <w:bookmarkStart w:id="174" w:name="_Toc20823308"/>
      <w:r/>
      <w:bookmarkStart w:id="175" w:name="_Toc513029236"/>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895"/>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3"/>
      <w:r/>
      <w:bookmarkStart w:id="178" w:name="_Toc513029237"/>
      <w:r/>
      <w:bookmarkStart w:id="179"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89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895"/>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479757207"/>
      <w:r/>
      <w:bookmarkStart w:id="181" w:name="_Toc513029242"/>
      <w:r/>
      <w:bookmarkStart w:id="182" w:name="_Toc16938558"/>
      <w:r/>
      <w:bookmarkStart w:id="183" w:name="_Toc20823314"/>
      <w:r/>
      <w:bookmarkStart w:id="184" w:name="_Toc120614221"/>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05"/>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05"/>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1"/>
        <w:rPr>
          <w:rFonts w:ascii="Times New Roman" w:hAnsi="Times New Roman" w:eastAsia="方正仿宋_GBK" w:cs="Times New Roman"/>
        </w:rPr>
      </w:pPr>
      <w:r>
        <w:rPr>
          <w:rFonts w:ascii="Times New Roman" w:hAnsi="Times New Roman" w:eastAsia="方正仿宋_GBK" w:cs="Times New Roman"/>
        </w:rPr>
      </w:r>
      <w:r/>
    </w:p>
    <w:p>
      <w:pPr>
        <w:pStyle w:val="891"/>
        <w:rPr>
          <w:rFonts w:ascii="Times New Roman" w:hAnsi="Times New Roman" w:eastAsia="方正仿宋_GBK" w:cs="Times New Roman"/>
        </w:rPr>
      </w:pPr>
      <w:r>
        <w:rPr>
          <w:rFonts w:ascii="Times New Roman" w:hAnsi="Times New Roman" w:eastAsia="方正仿宋_GBK" w:cs="Times New Roman"/>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pPr>
      <w:r/>
      <w:r/>
    </w:p>
    <w:p>
      <w:pPr>
        <w:pStyle w:val="892"/>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91"/>
        <w:ind w:firstLine="480"/>
        <w:spacing w:line="500" w:lineRule="exact"/>
        <w:rPr>
          <w:rFonts w:ascii="Times New Roman" w:hAnsi="Times New Roman" w:eastAsia="方正仿宋_GBK" w:cs="Times New Roman"/>
          <w:b/>
          <w:sz w:val="30"/>
        </w:rPr>
      </w:pPr>
      <w:r/>
      <w:bookmarkStart w:id="185" w:name="_Toc513029243"/>
      <w:r/>
      <w:bookmarkStart w:id="186" w:name="_Toc16938559"/>
      <w:r/>
      <w:bookmarkStart w:id="187"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
          <w:sz w:val="30"/>
        </w:rPr>
      </w:r>
      <w:r/>
    </w:p>
    <w:p>
      <w:pPr>
        <w:pStyle w:val="891"/>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项目名称：南通市质量技术和标准化中心质量基础设施“一站式”云服务平台改造项目                                     </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项目编号：JSZC-320600-JZCG-G2025-0238</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公共资源交易中心南通市质量技术和标准化中心质量基础设施“一站式”云服务平台改造项目</w:t>
      </w:r>
      <w:r>
        <w:rPr>
          <w:rFonts w:ascii="Times New Roman" w:hAnsi="Times New Roman" w:eastAsia="方正仿宋_GBK" w:cs="Times New Roman"/>
          <w:sz w:val="24"/>
          <w:szCs w:val="24"/>
        </w:rPr>
        <w:t xml:space="preserve">公开招标的结果，签署本合同。</w:t>
      </w:r>
      <w:r>
        <w:rPr>
          <w:rFonts w:ascii="Times New Roman" w:hAnsi="Times New Roman" w:eastAsia="方正仿宋_GBK" w:cs="Times New Roman"/>
          <w:b/>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29"/>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29"/>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29"/>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2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891"/>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891"/>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891"/>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891"/>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29"/>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2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8.1.1 预付款支付时间：合同签订后***日内，预付款支付比例：合同金额的**%。</w:t>
      </w:r>
      <w:r>
        <w:rPr>
          <w:rFonts w:ascii="Times New Roman" w:hAnsi="Times New Roman" w:eastAsia="方正仿宋_GBK" w:cs="Times New Roman"/>
          <w:sz w:val="24"/>
          <w:szCs w:val="24"/>
          <w:u w:val="single"/>
        </w:rPr>
      </w:r>
      <w:r/>
    </w:p>
    <w:p>
      <w:pPr>
        <w:pStyle w:val="92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8.1.2 尾款支付时间：服务结束并验收合格,采购人收到发票后15日内，尾款支付比例：合同金额的**%。</w:t>
      </w:r>
      <w:r>
        <w:rPr>
          <w:rFonts w:ascii="Times New Roman" w:hAnsi="Times New Roman" w:eastAsia="方正仿宋_GBK" w:cs="Times New Roman"/>
          <w:sz w:val="24"/>
          <w:szCs w:val="24"/>
          <w:u w:val="single"/>
        </w:rPr>
      </w:r>
      <w:r/>
    </w:p>
    <w:p>
      <w:pPr>
        <w:pStyle w:val="891"/>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891"/>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2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2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2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29"/>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29"/>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29"/>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29"/>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29"/>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5"/>
      <w:r/>
      <w:bookmarkEnd w:id="186"/>
      <w:r/>
      <w:bookmarkEnd w:id="187"/>
      <w:r/>
      <w:bookmarkStart w:id="188" w:name="_Hlt16619369"/>
      <w:r/>
      <w:bookmarkEnd w:id="188"/>
      <w:r/>
      <w:bookmarkStart w:id="189" w:name="_Hlt16619350"/>
      <w:r/>
      <w:bookmarkStart w:id="190" w:name="_Toc20823346"/>
      <w:r/>
      <w:bookmarkStart w:id="191" w:name="_Toc120614244"/>
      <w:r/>
      <w:bookmarkStart w:id="192" w:name="_Toc16938590"/>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91"/>
        <w:spacing w:line="0" w:lineRule="atLeast"/>
        <w:rPr>
          <w:rFonts w:ascii="Times New Roman" w:hAnsi="Times New Roman" w:eastAsia="方正仿宋_GBK" w:cs="Times New Roman"/>
          <w:color w:val="000000"/>
          <w:sz w:val="24"/>
          <w:szCs w:val="24"/>
          <w:highlight w:val="yellow"/>
        </w:rPr>
      </w:pPr>
      <w:r/>
      <w:bookmarkStart w:id="195" w:name="_Toc26554093"/>
      <w:r/>
      <w:bookmarkStart w:id="196"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1"/>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1"/>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89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89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89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89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891"/>
              <w:jc w:val="left"/>
              <w:spacing w:line="480" w:lineRule="exact"/>
              <w:tabs>
                <w:tab w:val="left" w:pos="2020" w:leader="none"/>
              </w:tabs>
              <w:rPr>
                <w:rFonts w:ascii="Times New Roman" w:hAnsi="Times New Roman" w:eastAsia="方正仿宋_GBK" w:cs="Times New Roman"/>
                <w:color w:val="000000"/>
                <w:sz w:val="24"/>
                <w:szCs w:val="24"/>
              </w:rPr>
            </w:pPr>
            <w:r>
              <w:rPr>
                <w:rFonts w:eastAsia="方正仿宋_GBK"/>
                <w:sz w:val="24"/>
                <w:szCs w:val="24"/>
              </w:rPr>
              <w:t xml:space="preserve">2025</w:t>
            </w:r>
            <w:r>
              <w:rPr>
                <w:rFonts w:hint="eastAsia" w:eastAsia="方正仿宋_GBK"/>
                <w:sz w:val="24"/>
                <w:szCs w:val="24"/>
              </w:rPr>
              <w:t xml:space="preserve">市场监管局系统改造项目（南通质量基础设施“一站式”服务平台改造）</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891"/>
              <w:jc w:val="center"/>
              <w:spacing w:line="480" w:lineRule="exact"/>
              <w:rPr>
                <w:rFonts w:ascii="Times New Roman" w:hAnsi="Times New Roman" w:eastAsia="方正仿宋_GBK" w:cs="Times New Roman"/>
                <w:color w:val="000000"/>
                <w:sz w:val="24"/>
                <w:szCs w:val="24"/>
              </w:rPr>
            </w:pPr>
            <w:r>
              <w:rPr>
                <w:rFonts w:hint="eastAsia" w:eastAsia="方正仿宋_GBK"/>
                <w:sz w:val="24"/>
                <w:szCs w:val="24"/>
              </w:rPr>
              <w:t xml:space="preserve">软件和信息技术服务</w:t>
            </w:r>
            <w:r>
              <w:rPr>
                <w:rFonts w:hint="eastAsia" w:eastAsia="方正仿宋_GBK"/>
                <w:sz w:val="24"/>
                <w:szCs w:val="24"/>
                <w:lang w:val="en-US" w:eastAsia="zh-CN"/>
              </w:rPr>
              <w:t xml:space="preserve">业</w:t>
            </w:r>
            <w:r>
              <w:rPr>
                <w:rFonts w:ascii="Times New Roman" w:hAnsi="Times New Roman" w:eastAsia="方正仿宋_GBK" w:cs="Times New Roman"/>
                <w:color w:val="000000"/>
                <w:sz w:val="24"/>
                <w:szCs w:val="24"/>
              </w:rPr>
            </w:r>
            <w:r/>
          </w:p>
        </w:tc>
      </w:tr>
    </w:tbl>
    <w:p>
      <w:pPr>
        <w:pStyle w:val="891"/>
        <w:spacing w:line="48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“市事通·通通检”平台国产化改造建设内容</w:t>
      </w:r>
      <w:r>
        <w:rPr>
          <w:rFonts w:hint="eastAsia" w:ascii="黑体" w:hAnsi="黑体" w:eastAsia="黑体"/>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8169"/>
      </w:tblGrid>
      <w:tr>
        <w:trPr/>
        <w:tc>
          <w:tcPr>
            <w:tcW w:w="1000" w:type="dxa"/>
            <w:vAlign w:val="top"/>
            <w:textDirection w:val="lrTb"/>
            <w:noWrap w:val="false"/>
          </w:tcPr>
          <w:p>
            <w:pPr>
              <w:pStyle w:val="9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8169" w:type="dxa"/>
            <w:vAlign w:val="top"/>
            <w:textDirection w:val="lrTb"/>
            <w:noWrap w:val="false"/>
          </w:tcPr>
          <w:p>
            <w:pPr>
              <w:pStyle w:val="922"/>
              <w:jc w:val="center"/>
              <w:rPr>
                <w:rFonts w:ascii="宋体" w:hAnsi="宋体" w:eastAsia="宋体" w:cs="宋体"/>
                <w:color w:val="000000"/>
                <w:highlight w:val="none"/>
              </w:rPr>
            </w:pPr>
            <w:r>
              <w:rPr>
                <w:rFonts w:hint="eastAsia" w:ascii="宋体" w:hAnsi="宋体" w:eastAsia="宋体" w:cs="宋体"/>
                <w:color w:val="000000"/>
                <w:highlight w:val="none"/>
              </w:rPr>
              <w:t xml:space="preserve">子系统清单</w:t>
            </w:r>
            <w:r>
              <w:rPr>
                <w:rFonts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标准数据管理系统信创改造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信息内容管理系统信创改造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企业用户服务管理系统信创改造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智能检索系统信创改造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检测、认证服务机构管理系统信创改造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标准有效性查询确认系统信创改造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WTO/TBT技术贸易壁垒管理系统信创改造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质量管理板块信创改造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政策直达板块信创改造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市监直通板块信创改造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产品分类服务信创改造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重点工作专栏信创改造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智慧市监服务信创改造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“标准托管”服务信创改造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“标准托管”2.0版信创改造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南通市家纺产品标识体检子系统信创改造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特种设备作业人员报考系统信创改造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特种设备考试管理平台信创改造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“市事通”智能问答机器人信创改造</w:t>
            </w:r>
            <w:r>
              <w:rPr>
                <w:rFonts w:hint="eastAsia" w:ascii="宋体" w:hAnsi="宋体" w:eastAsia="宋体" w:cs="宋体"/>
                <w:color w:val="000000"/>
                <w:highlight w:val="none"/>
              </w:rPr>
            </w:r>
            <w:r/>
          </w:p>
        </w:tc>
      </w:tr>
      <w:tr>
        <w:trPr/>
        <w:tc>
          <w:tcPr>
            <w:tcW w:w="1000" w:type="dxa"/>
            <w:vAlign w:val="top"/>
            <w:textDirection w:val="lrTb"/>
            <w:noWrap w:val="false"/>
          </w:tcPr>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8169" w:type="dxa"/>
            <w:vAlign w:val="top"/>
            <w:textDirection w:val="lrTb"/>
            <w:noWrap w:val="false"/>
          </w:tcPr>
          <w:p>
            <w:pPr>
              <w:pStyle w:val="922"/>
              <w:rPr>
                <w:rFonts w:hint="eastAsia" w:ascii="宋体" w:hAnsi="宋体" w:eastAsia="宋体" w:cs="宋体"/>
                <w:color w:val="000000"/>
                <w:highlight w:val="none"/>
              </w:rPr>
            </w:pPr>
            <w:r>
              <w:rPr>
                <w:rFonts w:hint="eastAsia" w:ascii="宋体" w:hAnsi="宋体" w:eastAsia="宋体" w:cs="宋体"/>
                <w:color w:val="000000"/>
                <w:highlight w:val="none"/>
              </w:rPr>
              <w:t xml:space="preserve">“国际标准，你荐我买”栏目</w:t>
            </w:r>
            <w:r>
              <w:rPr>
                <w:rFonts w:hint="eastAsia" w:ascii="宋体" w:hAnsi="宋体" w:eastAsia="宋体" w:cs="宋体"/>
                <w:color w:val="000000"/>
                <w:highlight w:val="none"/>
              </w:rPr>
            </w:r>
            <w:r/>
          </w:p>
        </w:tc>
      </w:tr>
    </w:tbl>
    <w:p>
      <w:pPr>
        <w:pStyle w:val="891"/>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1"/>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894"/>
        <w:spacing w:before="240" w:after="120" w:line="560" w:lineRule="exact"/>
        <w:rPr>
          <w:rFonts w:hint="eastAsia" w:ascii="黑体" w:hAnsi="黑体" w:eastAsia="黑体"/>
          <w:color w:val="000000"/>
          <w:sz w:val="28"/>
          <w:szCs w:val="28"/>
          <w:highlight w:val="none"/>
        </w:rPr>
        <w:outlineLvl w:val="2"/>
      </w:pPr>
      <w:r/>
      <w:bookmarkStart w:id="197" w:name="_Toc541222670"/>
      <w:r>
        <w:rPr>
          <w:rFonts w:hint="eastAsia" w:ascii="黑体" w:hAnsi="黑体" w:eastAsia="黑体"/>
          <w:color w:val="000000"/>
          <w:sz w:val="28"/>
          <w:szCs w:val="28"/>
          <w:highlight w:val="none"/>
        </w:rPr>
        <w:t xml:space="preserve">（一）“市事通·通通检”平台国产化改造建设</w:t>
      </w:r>
      <w:bookmarkEnd w:id="197"/>
      <w:r>
        <w:rPr>
          <w:rFonts w:hint="eastAsia" w:ascii="黑体" w:hAnsi="黑体" w:eastAsia="黑体"/>
          <w:color w:val="000000"/>
          <w:sz w:val="28"/>
          <w:szCs w:val="28"/>
          <w:highlight w:val="none"/>
        </w:rPr>
        <w:t xml:space="preserve">内容</w:t>
      </w:r>
      <w:r>
        <w:rPr>
          <w:rFonts w:hint="eastAsia" w:ascii="黑体" w:hAnsi="黑体" w:eastAsia="黑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通质量基础设施“一站式”服务（市事通·通通检）平台基于原有的“通通检”平台优化升级而来，现有注册用户2.1万名，访问总量90万余次。平台为企业和社会各界提供“标准服务、检验检测、认证认可、质量管理、政策直达、市监直通”五大基础业务，延伸产品分类服务、重点工作专栏、智慧市监等多个特色服务，创新性建设面向企业、产业、区域提供全链条、全方位、全过程质量基础设施“一站式”综合服务线上服务窗口，为企业提供更便捷、更高效的质量基础服务。</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国家、省、市关于安全可靠应用和国产化改造要求，实施南通质量基础设施“一站式”服务（市事通·通通检）平台信创改造工作，对原有系统实施国产化适配，推动数字政府高质量建设，为市场监管服务提供技术支撑。</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1、标准数据管理系统信创改造</w:t>
      </w:r>
      <w:r>
        <w:rPr>
          <w:rFonts w:hint="eastAsia" w:ascii="宋体" w:hAnsi="宋体" w:eastAsia="宋体" w:cs="宋体"/>
          <w:color w:val="000000"/>
          <w:sz w:val="28"/>
          <w:szCs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707"/>
        <w:gridCol w:w="6452"/>
      </w:tblGrid>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W w:w="931"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w:t>
            </w:r>
            <w:r>
              <w:rPr>
                <w:rFonts w:ascii="宋体" w:hAnsi="宋体" w:eastAsia="宋体" w:cs="宋体"/>
                <w:color w:val="000000"/>
                <w:sz w:val="21"/>
                <w:szCs w:val="21"/>
                <w:highlight w:val="none"/>
              </w:rPr>
            </w:r>
            <w:r/>
          </w:p>
        </w:tc>
        <w:tc>
          <w:tcPr>
            <w:tcW w:w="351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rPr>
                <w:rFonts w:ascii="宋体" w:hAnsi="宋体" w:eastAsia="宋体" w:cs="宋体"/>
                <w:color w:val="000000"/>
                <w:sz w:val="21"/>
                <w:szCs w:val="21"/>
                <w:highlight w:val="none"/>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数据包管理</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提供标准文献数据包的导入功能。</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数据标准管理</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自定义标准管理：包括标准名称、标准分类号、标准号、标准简介、标准有效状态、标准内容、中小企业标准直享站、国际标准:你荐我买等。</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数据类别管理</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自定义标准类别：包括定义多级类别、父级子级关联关系，为前台提供多级分类展示。</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数据题录管理</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对数据包中的数据题录进行管理，包括数据题录的入库、标准分类、修改、删除操作。</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版本管理</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可对多个版本的数据包、数据版本进行管理、维护操作。</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数据交换</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提供数据库、数据标准、数据题录的导入导出功能。</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数据模板</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支持数据导入导出的数据模板设置。</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题录处理流程</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提供数据题录的提交、分类、分类审核、入库审核、发布申请。</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题录数据检索文件</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发布题录数据时自动生成数据检索文件，为南通市“3+3”重点产业标准信息公开服务网站提供快速的产业标准信息检索服务。</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文件转换</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将标准文献、题录资料转换成统一的文件格式对外发布展示。</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安全阅读</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会员通过申请授权的文件资料，不允许下载，只能在线查阅，使用 IE8 及以上版本浏览器，通过插件可调控阅读标准文献前 3 页或全文、题录资料，展示的文件包含水印、截屏追溯码追踪、打印禁止、时间锁（文件阅读使用时限）、阅读记录留痕。（水印包含用户名、阅读时间记录）。此外，对管理员、部门内用户、特定用户提供下载功能（下载含用户名水印、系统保存下载记录）。</w:t>
            </w:r>
            <w:r>
              <w:rPr>
                <w:color w:val="000000"/>
                <w:sz w:val="21"/>
                <w:szCs w:val="21"/>
                <w:highlight w:val="none"/>
                <w:lang w:bidi="ar"/>
              </w:rPr>
            </w:r>
            <w:r/>
          </w:p>
        </w:tc>
      </w:tr>
      <w:tr>
        <w:trPr>
          <w:trHeight w:val="567"/>
        </w:trPr>
        <w:tc>
          <w:tcPr>
            <w:tcW w:w="549" w:type="dxa"/>
            <w:vAlign w:val="center"/>
            <w:textDirection w:val="lrTb"/>
            <w:noWrap w:val="false"/>
          </w:tcPr>
          <w:p>
            <w:pPr>
              <w:pStyle w:val="1003"/>
              <w:jc w:val="center"/>
              <w:spacing w:line="56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ascii="宋体" w:hAnsi="宋体" w:eastAsia="宋体" w:cs="宋体"/>
                <w:color w:val="000000"/>
                <w:sz w:val="21"/>
                <w:szCs w:val="21"/>
                <w:highlight w:val="none"/>
              </w:rPr>
            </w:r>
            <w:r/>
          </w:p>
        </w:tc>
        <w:tc>
          <w:tcPr>
            <w:tcW w:w="93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申请和授权</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文件资料实现搜索、题录展示，阅读使用需要企业会员登录，可调控阅读前3页或全文。</w:t>
            </w:r>
            <w:r>
              <w:rPr>
                <w:color w:val="000000"/>
                <w:sz w:val="21"/>
                <w:szCs w:val="21"/>
                <w:highlight w:val="none"/>
                <w:lang w:bidi="ar"/>
              </w:rPr>
            </w:r>
            <w:r/>
          </w:p>
        </w:tc>
      </w:tr>
    </w:tbl>
    <w:p>
      <w:pPr>
        <w:pStyle w:val="891"/>
        <w:spacing w:line="560" w:lineRule="exact"/>
        <w:rPr>
          <w:color w:val="000000"/>
          <w:highlight w:val="none"/>
        </w:rPr>
      </w:pPr>
      <w:r>
        <w:rPr>
          <w:color w:val="000000"/>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2、信息内容管理系统信创改造</w:t>
      </w:r>
      <w:r>
        <w:rPr>
          <w:rFonts w:hint="eastAsia" w:ascii="宋体" w:hAnsi="宋体" w:eastAsia="宋体" w:cs="宋体"/>
          <w:color w:val="000000"/>
          <w:sz w:val="28"/>
          <w:szCs w:val="28"/>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685"/>
        <w:gridCol w:w="6466"/>
      </w:tblGrid>
      <w:tr>
        <w:trPr>
          <w:trHeight w:val="567"/>
        </w:trPr>
        <w:tc>
          <w:tcPr>
            <w:tcW w:w="552" w:type="dxa"/>
            <w:vAlign w:val="center"/>
            <w:textDirection w:val="lrTb"/>
            <w:noWrap w:val="false"/>
          </w:tcPr>
          <w:p>
            <w:pPr>
              <w:pStyle w:val="953"/>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19" w:type="dxa"/>
            <w:vAlign w:val="center"/>
            <w:textDirection w:val="lrTb"/>
            <w:noWrap w:val="false"/>
          </w:tcPr>
          <w:p>
            <w:pPr>
              <w:pStyle w:val="953"/>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27" w:type="dxa"/>
            <w:vAlign w:val="center"/>
            <w:textDirection w:val="lrTb"/>
            <w:noWrap w:val="false"/>
          </w:tcPr>
          <w:p>
            <w:pPr>
              <w:pStyle w:val="953"/>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站点管理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提供“市事通·通通检”站点的管理。</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栏目管理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提供网站栏目管理，包括多级栏目的配置，栏目的名称、栏目的信息审核规则绑定、栏目页面模板的绑定、栏目内面模板的绑定。</w:t>
            </w:r>
            <w:r>
              <w:rPr>
                <w:color w:val="000000"/>
                <w:sz w:val="21"/>
                <w:szCs w:val="21"/>
                <w:highlight w:val="none"/>
                <w:lang w:bidi="ar"/>
              </w:rPr>
            </w:r>
            <w:r/>
          </w:p>
        </w:tc>
      </w:tr>
      <w:tr>
        <w:trPr>
          <w:trHeight w:val="2185"/>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信息内容操作</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1、各栏目之间的信息可复制、引用、内部转移；</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2、发布的信息可冻结（撤搞）、发布（恢复）；</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3、可设置每个信息是否置顶；</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4、可自定义发布、撒稿时间。</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信息编辑器</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提供类似 word 的可视化的信息编辑工具，支持文本、表格、图片（jpg、bmp、gif）、Flash、视频文件（mpg4、wmv、rnvb、avi、mpeg），附件的插入。用户可随意指定文档内容的字体、字号、字体颜色、背景颜色、段落对齐方式、项目符号、段落缩进属性、插入超级链接。</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技术类信息发布</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提供技术类信息发布，文章内容包括技术类别、技术内容、关联的检测标准、关联的机构服务信息。</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能够自定义技术类别。</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6</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咨询服务</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企业用户可以通过网站、微信、APP 咨询留言，后台提供咨询留言回复。审核发布的咨询回复信息也可同步到网站中。</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7</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审核流程管理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提供信息多级审核功能，审核规则自定义。</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8</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模板管理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提供模板的上传、修改、删除功能。</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所有栏目或专题页面都可以自定义 PC 端和移动端的页面模板、列表模板、内容模板。</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9</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移动端模板管理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提供移动端模板设置功能，移动端模板与 PC 端页面模板同时绑定到相同栏目，实现信息内容同步发布。</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10</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敏感词</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提供敏感词库管理；</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维护网站信息内容时，能够对内容中的敏感词进行过滤和提示。</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11</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静态发布</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系统采用纯静态发布技术，可形成 html 页面，全站采用自动发布，在对站点模板、栏目或文章做任何修改后，系统自动增量更新发布静态页面，无需手工触发。</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12</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友情链接</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提供友情链接分类管理、链接地址管理，实现网页中的友情链接可动态维护。</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13</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企业用户服务管理系统</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建设企业用户服务管理子系统，提供企业用户的注册、登求、信息维护、检索权限、信息传输、标准检索阅读功能。</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14</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企业注册登录</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提供企业注册、登录功能。</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15</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企业基础数据管理</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提供企业基础数据的管理，包括企业名称、所属行业、工商登记注册号、企业住所、一般经营项目信息。</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16</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企业帐号冻结启用</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控制企业帐号登录权限冻结或启用。</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17</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企业行业分类</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对企业行业类别进行分类。</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18</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企业阅读功能</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企业用户标准阅读功能的冻结或启用，阅读记录的存储。</w:t>
            </w:r>
            <w:r>
              <w:rPr>
                <w:color w:val="000000"/>
                <w:sz w:val="21"/>
                <w:szCs w:val="21"/>
                <w:highlight w:val="none"/>
                <w:lang w:bidi="ar"/>
              </w:rPr>
            </w:r>
            <w:r/>
          </w:p>
        </w:tc>
      </w:tr>
      <w:tr>
        <w:trPr>
          <w:trHeight w:val="567"/>
        </w:trPr>
        <w:tc>
          <w:tcPr>
            <w:tcW w:w="552"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19</w:t>
            </w:r>
            <w:r>
              <w:rPr>
                <w:color w:val="000000"/>
                <w:sz w:val="21"/>
                <w:szCs w:val="21"/>
                <w:highlight w:val="none"/>
                <w:lang w:bidi="ar"/>
              </w:rPr>
            </w:r>
            <w:r/>
          </w:p>
        </w:tc>
        <w:tc>
          <w:tcPr>
            <w:tcW w:w="9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企业功能模块</w:t>
            </w:r>
            <w:r>
              <w:rPr>
                <w:color w:val="000000"/>
                <w:sz w:val="21"/>
                <w:szCs w:val="21"/>
                <w:highlight w:val="none"/>
                <w:lang w:bidi="ar"/>
              </w:rPr>
            </w:r>
            <w:r/>
          </w:p>
        </w:tc>
        <w:tc>
          <w:tcPr>
            <w:tcW w:w="3527"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标准搜索、标准有效性确认、企标评估、标准图书借阅、企标编写软件、标准推送信息、企业标准购买功能模块的冻结或后用。</w:t>
            </w:r>
            <w:r>
              <w:rPr>
                <w:color w:val="000000"/>
                <w:sz w:val="21"/>
                <w:szCs w:val="21"/>
                <w:highlight w:val="none"/>
                <w:lang w:bidi="ar"/>
              </w:rPr>
            </w:r>
            <w:r/>
          </w:p>
        </w:tc>
      </w:tr>
    </w:tbl>
    <w:p>
      <w:pPr>
        <w:pStyle w:val="891"/>
        <w:spacing w:line="440" w:lineRule="exact"/>
        <w:rPr>
          <w:color w:val="000000"/>
          <w:highlight w:val="none"/>
        </w:rPr>
      </w:pPr>
      <w:r>
        <w:rPr>
          <w:color w:val="000000"/>
          <w:highlight w:val="none"/>
        </w:rPr>
      </w:r>
      <w:r/>
    </w:p>
    <w:p>
      <w:pPr>
        <w:pStyle w:val="1003"/>
        <w:spacing w:line="440" w:lineRule="exact"/>
        <w:widowControl/>
        <w:rPr>
          <w:color w:val="000000"/>
          <w:sz w:val="28"/>
          <w:szCs w:val="28"/>
          <w:highlight w:val="none"/>
        </w:rPr>
      </w:pPr>
      <w:r>
        <w:rP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3、企业用户服务管理系统信创改造</w:t>
      </w:r>
      <w:r>
        <w:rPr>
          <w:rFonts w:hint="eastAsia" w:ascii="宋体" w:hAnsi="宋体" w:eastAsia="宋体" w:cs="宋体"/>
          <w:color w:val="000000"/>
          <w:sz w:val="28"/>
          <w:szCs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733"/>
        <w:gridCol w:w="6450"/>
      </w:tblGrid>
      <w:tr>
        <w:trPr>
          <w:trHeight w:val="567"/>
        </w:trPr>
        <w:tc>
          <w:tcPr>
            <w:tcW w:w="536"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企业注册登录</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提供企业注册、登录功能。</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企业基础数据管理</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提供企业基础数据的管理，包括企业名称、所属行业、工商登记注册号、企业住所、一般经营项目信息以及积分初始化功能。</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企业帐号冻结启用</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控制企业帐号登录权限冻结或启用。</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企业行业分类</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对企业行业类别进行分类。</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企业阅读功能</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企业用户标准阅读功能的冻结或后用，阅读记录的存储。</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6</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企业功能模块</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标准有效性确认、企标评估、标准图书借阅、企标编写软件功能模块的冻结或启用。</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7</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企业帐号冻结启用</w:t>
            </w:r>
            <w:r>
              <w:rPr>
                <w:color w:val="000000"/>
                <w:sz w:val="21"/>
                <w:szCs w:val="21"/>
                <w:highlight w:val="none"/>
                <w:lang w:bidi="ar"/>
              </w:rPr>
            </w:r>
            <w:r/>
          </w:p>
        </w:tc>
        <w:tc>
          <w:tcPr>
            <w:tcW w:w="351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控制企业帐号登录权限冻结或启用。</w:t>
            </w:r>
            <w:r>
              <w:rPr>
                <w:color w:val="000000"/>
                <w:sz w:val="21"/>
                <w:szCs w:val="21"/>
                <w:highlight w:val="none"/>
                <w:lang w:bidi="ar"/>
              </w:rPr>
            </w:r>
            <w:r/>
          </w:p>
        </w:tc>
      </w:tr>
    </w:tbl>
    <w:p>
      <w:pPr>
        <w:pStyle w:val="1003"/>
        <w:spacing w:line="440" w:lineRule="exact"/>
        <w:widowControl/>
        <w:rPr>
          <w:color w:val="000000"/>
          <w:sz w:val="28"/>
          <w:szCs w:val="28"/>
          <w:highlight w:val="none"/>
        </w:rPr>
      </w:pPr>
      <w:r>
        <w:rPr>
          <w:color w:val="000000"/>
          <w:sz w:val="28"/>
          <w:szCs w:val="28"/>
          <w:highlight w:val="none"/>
        </w:rPr>
      </w:r>
      <w:r/>
    </w:p>
    <w:p>
      <w:pPr>
        <w:pStyle w:val="953"/>
        <w:spacing w:before="156" w:after="156" w:line="560" w:lineRule="exact"/>
        <w:rPr>
          <w:color w:val="000000"/>
          <w:sz w:val="28"/>
          <w:szCs w:val="28"/>
          <w:highlight w:val="none"/>
        </w:rPr>
      </w:pPr>
      <w:r>
        <w:rPr>
          <w:rFonts w:hint="eastAsia"/>
          <w:color w:val="000000"/>
          <w:sz w:val="28"/>
          <w:szCs w:val="28"/>
          <w:highlight w:val="none"/>
        </w:rPr>
        <w:t xml:space="preserve">4、智能检索系统信创改造</w:t>
      </w:r>
      <w:r>
        <w:rPr>
          <w:color w:val="000000"/>
          <w:sz w:val="28"/>
          <w:szCs w:val="28"/>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732"/>
        <w:gridCol w:w="6450"/>
      </w:tblGrid>
      <w:tr>
        <w:trPr>
          <w:trHeight w:val="567"/>
        </w:trPr>
        <w:tc>
          <w:tcPr>
            <w:tcW w:w="53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精确搜索+模糊搜索+全文检索</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检索结果首先显示精确检索结果，再显示模糊查询结果。</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另设全文检索栏，对需要全文检索的指标进行数据库全文检需要对标准号的格式和特殊字符有兼容性，能够自动进行规格化处理。</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对搜索词可进行有效拆分。</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能够识别搜索词的近义词或类似词汇。</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能够在后台配置不同检索显示结果的优先级和顺序。</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分类查询＋搜索</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按照标准类别、行业领域提供各种分类查询，并在分类查询结果中再进行关键词检索。也可以相反，进行关键词检索后再选择可选的类别进行查询。</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根据中国标准分类号进行分类查询</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根据ICS标准分类号进行分类查询</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根据国家、行业、国外、地方属性进行分类查询</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综合查询+搜索</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允许主题词进行组合后进行综合查询，并在查询结果中再进行关键字检索。</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主题词为常用分类信息，或者常用主题词。</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搜案结果显示</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对单条搜索结果，除显示题录信息或按照权限阅读文体外，显示标准内相关指标内容，显示该标准的替代、（被）采用、（被）引用关系，可以延伸显示相关新闻资讯、文献。</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搜索结果下载</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搜索产生的结果在权限允许下可单条或批量选择下载、导出。可选择word、excel标准明细表导出，主要内容包括标准名、标准号、发布日期、实施日期、状态。如无权限或尚未登录，可导引至登录界面。可选择电脑和或手机阅读方式。</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6</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标准分类查询栏</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按中国标准文献分类法分类查询、按国际标准分类法（ICS）分类查询提供标准（图书）快速查询、标准（图书）分类查询、标准（图书）高级查询。其中标准（图书）分类查询分为按中国标准文献分类法分类查询、按国际标准分类法（ICS）分类查询。</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分类查询以中国标准文献分类法、国际标准分类法（ICS）为基础，页面构造采用扁平化处理。点击中国标准文献分类法分类显示中国标准文献分类法一级类目显示部分二级类目，点击一级类目显示该一级类目的全部二级，点击二级类目显示该二级类目的全部三级类目点击国际标准分类法（ICS）显示方法与中国标准文献分类法相同。不点击时本网站默认中国标准文献分类法分类。</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7</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高级查询栏目</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高级查询提供用户国家（组织）、行业、标准号、题内主题词、英文题内主题词、作废标准、采用关系、实施日期组配查询，查询结果输出栏目。</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查询结果显示顺序：未实施的标准（国家标准、行业标准）标准公告内标准（国家标准、行业标准）其它标准（国家标准、行业标准）标准图书（按版本年代号排）国外标准（按标准代号首字母排列）</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查询结果显示内容：标准号、标准适用范围、标准名称、引用标准、标准状态、标准修改单、在每条查询记录后提供查阅提示。在使用一级类目、二级类目、三级类目查询时查询结果中不显示“引用标准”，只有点击具体标准号时才显示全部“引用标准”。</w:t>
            </w:r>
            <w:r>
              <w:rPr>
                <w:color w:val="000000"/>
                <w:sz w:val="21"/>
                <w:szCs w:val="21"/>
                <w:highlight w:val="none"/>
                <w:lang w:bidi="ar"/>
              </w:rPr>
            </w:r>
            <w:r/>
          </w:p>
        </w:tc>
      </w:tr>
      <w:tr>
        <w:trPr>
          <w:trHeight w:val="567"/>
        </w:trPr>
        <w:tc>
          <w:tcPr>
            <w:tcW w:w="535"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8</w:t>
            </w:r>
            <w:r>
              <w:rPr>
                <w:color w:val="000000"/>
                <w:sz w:val="21"/>
                <w:szCs w:val="21"/>
                <w:highlight w:val="none"/>
                <w:lang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标准搜栏目</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搜提供根据标准号或者标准名称的题录/全文模糊检索、标准体系检索，记录用户检索内容，根据用户检索行为进行相关标准推荐和标准检索关键词。点击“某一标准号“实现对题录详情的展示，并展示其替代标准。</w:t>
            </w:r>
            <w:r>
              <w:rPr>
                <w:color w:val="000000"/>
                <w:sz w:val="21"/>
                <w:szCs w:val="21"/>
                <w:highlight w:val="none"/>
                <w:lang w:bidi="ar"/>
              </w:rPr>
            </w:r>
            <w:r/>
          </w:p>
        </w:tc>
      </w:tr>
      <w:tr>
        <w:trPr>
          <w:trHeight w:val="567"/>
        </w:trPr>
        <w:tc>
          <w:tcPr>
            <w:tcW w:w="535" w:type="dxa"/>
            <w:vAlign w:val="center"/>
            <w:textDirection w:val="lrTb"/>
            <w:noWrap w:val="false"/>
          </w:tcPr>
          <w:p>
            <w:pPr>
              <w:pStyle w:val="953"/>
              <w:jc w:val="center"/>
              <w:spacing w:before="156" w:after="156" w:line="440" w:lineRule="exact"/>
              <w:rPr>
                <w:rFonts w:hint="eastAsia" w:ascii="Helvetica" w:hAnsi="Helvetica" w:eastAsia="宋体" w:cs="Helvetica"/>
                <w:color w:val="000000"/>
                <w:highlight w:val="none"/>
                <w:lang w:val="en-US" w:eastAsia="zh-CN" w:bidi="ar"/>
              </w:rPr>
            </w:pPr>
            <w:r>
              <w:rPr>
                <w:rFonts w:hint="eastAsia" w:ascii="Helvetica" w:hAnsi="Helvetica" w:eastAsia="宋体" w:cs="Helvetica"/>
                <w:color w:val="000000"/>
                <w:highlight w:val="none"/>
                <w:lang w:val="en-US" w:eastAsia="zh-CN" w:bidi="ar"/>
              </w:rPr>
              <w:t xml:space="preserve">9</w:t>
            </w:r>
            <w:r>
              <w:rPr>
                <w:rFonts w:hint="eastAsia" w:ascii="Helvetica" w:hAnsi="Helvetica" w:eastAsia="宋体" w:cs="Helvetica"/>
                <w:color w:val="000000"/>
                <w:highlight w:val="none"/>
                <w:lang w:val="en-US" w:eastAsia="zh-CN" w:bidi="ar"/>
              </w:rPr>
            </w:r>
            <w:r/>
          </w:p>
        </w:tc>
        <w:tc>
          <w:tcPr>
            <w:tcW w:w="94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标准信息关联</w:t>
            </w:r>
            <w:r>
              <w:rPr>
                <w:color w:val="000000"/>
                <w:sz w:val="21"/>
                <w:szCs w:val="21"/>
                <w:highlight w:val="none"/>
                <w:lang w:bidi="ar"/>
              </w:rPr>
            </w:r>
            <w:r/>
          </w:p>
        </w:tc>
        <w:tc>
          <w:tcPr>
            <w:tcW w:w="35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可设置每体系目录关联相关标准文献，进行关联查询。</w:t>
            </w:r>
            <w:r>
              <w:rPr>
                <w:color w:val="000000"/>
                <w:sz w:val="21"/>
                <w:szCs w:val="21"/>
                <w:highlight w:val="none"/>
                <w:lang w:bidi="ar"/>
              </w:rPr>
            </w:r>
            <w:r/>
          </w:p>
        </w:tc>
      </w:tr>
    </w:tbl>
    <w:p>
      <w:pPr>
        <w:pStyle w:val="1003"/>
        <w:spacing w:line="440" w:lineRule="exact"/>
        <w:widowControl/>
        <w:rPr>
          <w:color w:val="000000"/>
          <w:sz w:val="28"/>
          <w:szCs w:val="28"/>
          <w:highlight w:val="none"/>
        </w:rPr>
      </w:pPr>
      <w:r>
        <w:rPr>
          <w:color w:val="000000"/>
          <w:sz w:val="28"/>
          <w:szCs w:val="28"/>
          <w:highlight w:val="none"/>
        </w:rPr>
      </w:r>
      <w:r/>
    </w:p>
    <w:p>
      <w:pPr>
        <w:pStyle w:val="1003"/>
        <w:spacing w:line="440" w:lineRule="exact"/>
        <w:widowControl/>
        <w:rPr>
          <w:color w:val="000000"/>
          <w:sz w:val="28"/>
          <w:szCs w:val="28"/>
          <w:highlight w:val="none"/>
        </w:rPr>
      </w:pPr>
      <w:r>
        <w:rP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5、检测、认证服务机构管理系统信创改造</w:t>
      </w:r>
      <w:r>
        <w:rPr>
          <w:rFonts w:hint="eastAsia" w:ascii="宋体" w:hAnsi="宋体" w:eastAsia="宋体" w:cs="宋体"/>
          <w:color w:val="000000"/>
          <w:sz w:val="28"/>
          <w:szCs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2017"/>
        <w:gridCol w:w="5920"/>
      </w:tblGrid>
      <w:tr>
        <w:trPr>
          <w:trHeight w:val="567"/>
        </w:trPr>
        <w:tc>
          <w:tcPr>
            <w:tcW w:w="670"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110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228" w:type="dxa"/>
            <w:vAlign w:val="center"/>
            <w:textDirection w:val="lrTb"/>
            <w:noWrap w:val="false"/>
          </w:tcPr>
          <w:p>
            <w:pPr>
              <w:pStyle w:val="953"/>
              <w:ind w:firstLine="1260"/>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67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11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机构信息维护</w:t>
            </w:r>
            <w:r>
              <w:rPr>
                <w:color w:val="000000"/>
                <w:sz w:val="21"/>
                <w:szCs w:val="21"/>
                <w:highlight w:val="none"/>
                <w:lang w:bidi="ar"/>
              </w:rPr>
            </w:r>
            <w:r/>
          </w:p>
        </w:tc>
        <w:tc>
          <w:tcPr>
            <w:tcW w:w="322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维护检测服务机构概况、资质授权、联系方式信息。</w:t>
            </w:r>
            <w:r>
              <w:rPr>
                <w:color w:val="000000"/>
                <w:sz w:val="21"/>
                <w:szCs w:val="21"/>
                <w:highlight w:val="none"/>
                <w:lang w:bidi="ar"/>
              </w:rPr>
            </w:r>
            <w:r/>
          </w:p>
        </w:tc>
      </w:tr>
      <w:tr>
        <w:trPr>
          <w:trHeight w:val="567"/>
        </w:trPr>
        <w:tc>
          <w:tcPr>
            <w:tcW w:w="67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11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检测服务信息</w:t>
            </w:r>
            <w:r>
              <w:rPr>
                <w:color w:val="000000"/>
                <w:sz w:val="21"/>
                <w:szCs w:val="21"/>
                <w:highlight w:val="none"/>
                <w:lang w:bidi="ar"/>
              </w:rPr>
            </w:r>
            <w:r/>
          </w:p>
        </w:tc>
        <w:tc>
          <w:tcPr>
            <w:tcW w:w="322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维护检测服务机构的检测服务内容，按照服务类别、产品类别、认证分类展示。</w:t>
            </w:r>
            <w:r>
              <w:rPr>
                <w:color w:val="000000"/>
                <w:sz w:val="21"/>
                <w:szCs w:val="21"/>
                <w:highlight w:val="none"/>
                <w:lang w:bidi="ar"/>
              </w:rPr>
            </w:r>
            <w:r/>
          </w:p>
        </w:tc>
      </w:tr>
      <w:tr>
        <w:trPr>
          <w:trHeight w:val="567"/>
        </w:trPr>
        <w:tc>
          <w:tcPr>
            <w:tcW w:w="67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11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类别维护</w:t>
            </w:r>
            <w:r>
              <w:rPr>
                <w:color w:val="000000"/>
                <w:sz w:val="21"/>
                <w:szCs w:val="21"/>
                <w:highlight w:val="none"/>
                <w:lang w:bidi="ar"/>
              </w:rPr>
            </w:r>
            <w:r/>
          </w:p>
        </w:tc>
        <w:tc>
          <w:tcPr>
            <w:tcW w:w="322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可自定义维护服务类别、产品类别、认证选项。</w:t>
            </w:r>
            <w:r>
              <w:rPr>
                <w:color w:val="000000"/>
                <w:sz w:val="21"/>
                <w:szCs w:val="21"/>
                <w:highlight w:val="none"/>
                <w:lang w:bidi="ar"/>
              </w:rPr>
            </w:r>
            <w:r/>
          </w:p>
        </w:tc>
      </w:tr>
      <w:tr>
        <w:trPr>
          <w:trHeight w:val="567"/>
        </w:trPr>
        <w:tc>
          <w:tcPr>
            <w:tcW w:w="67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11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服务指南</w:t>
            </w:r>
            <w:r>
              <w:rPr>
                <w:color w:val="000000"/>
                <w:sz w:val="21"/>
                <w:szCs w:val="21"/>
                <w:highlight w:val="none"/>
                <w:lang w:bidi="ar"/>
              </w:rPr>
            </w:r>
            <w:r/>
          </w:p>
        </w:tc>
        <w:tc>
          <w:tcPr>
            <w:tcW w:w="322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维护服务指南内容，包括申请流程</w:t>
            </w:r>
            <w:r>
              <w:rPr>
                <w:color w:val="000000"/>
                <w:sz w:val="21"/>
                <w:szCs w:val="21"/>
                <w:highlight w:val="none"/>
                <w:lang w:bidi="ar"/>
              </w:rPr>
            </w:r>
            <w:r/>
          </w:p>
        </w:tc>
      </w:tr>
      <w:tr>
        <w:trPr>
          <w:trHeight w:val="567"/>
        </w:trPr>
        <w:tc>
          <w:tcPr>
            <w:tcW w:w="670"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11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检测服务检索</w:t>
            </w:r>
            <w:r>
              <w:rPr>
                <w:color w:val="000000"/>
                <w:sz w:val="21"/>
                <w:szCs w:val="21"/>
                <w:highlight w:val="none"/>
                <w:lang w:bidi="ar"/>
              </w:rPr>
            </w:r>
            <w:r/>
          </w:p>
        </w:tc>
        <w:tc>
          <w:tcPr>
            <w:tcW w:w="322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检索整个平台检测服务机构的服务内容。</w:t>
            </w:r>
            <w:r>
              <w:rPr>
                <w:color w:val="000000"/>
                <w:sz w:val="21"/>
                <w:szCs w:val="21"/>
                <w:highlight w:val="none"/>
                <w:lang w:bidi="ar"/>
              </w:rPr>
            </w:r>
            <w:r/>
          </w:p>
        </w:tc>
      </w:tr>
    </w:tbl>
    <w:p>
      <w:pPr>
        <w:pStyle w:val="1003"/>
        <w:spacing w:line="440" w:lineRule="exact"/>
        <w:widowControl/>
        <w:rPr>
          <w:color w:val="000000"/>
          <w:sz w:val="28"/>
          <w:szCs w:val="28"/>
          <w:highlight w:val="none"/>
        </w:rPr>
      </w:pPr>
      <w:r>
        <w:rP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6、标准有效性查询确认系统信创改造</w:t>
      </w:r>
      <w:r>
        <w:rPr>
          <w:rFonts w:hint="eastAsia" w:ascii="宋体" w:hAnsi="宋体" w:eastAsia="宋体" w:cs="宋体"/>
          <w:color w:val="000000"/>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720"/>
        <w:gridCol w:w="6464"/>
      </w:tblGrid>
      <w:tr>
        <w:trPr>
          <w:trHeight w:val="567"/>
        </w:trPr>
        <w:tc>
          <w:tcPr>
            <w:tcW w:w="536"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申请登记</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自动识别会员的企业名称、企业地址，联系方式基本信息，会员补充登记委托人姓名、手机号码、委托日期、标准号、标准名称信息。</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自动查询</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与数据库里的标准年代号进行比对，并抓取省标院网站上的标准年代号信息，一致自动生成查询结果，不一致转为人工处理。</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人工校对/修改</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对比对结果有异议的转人工确认，并进行修改。</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审核</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按照管理权限对评估的报告实现在线审核，并进行电子签名。</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生成报告</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审核合格后，按照规定的报告格式，提取相应的信息，自动生成标准有效性确认报告。</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6</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自动打印</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会员根据进度，可以对生成的标准有效性确认报告进行在线自动打印功能。自动打印功能后台管理员可以进行锁定。</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7</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查询统计</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对选定日期内查询的所有已出具报告进行统计，企业名称、地址、委托人、联系方式、查询数量、有效数量、作废数量、部分被替代数量进行显示。</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8</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前台模块</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对会员单位、新注册用户均提供此功能，前台提供标准确认申请表格填写、申请、状态及最终打印。</w:t>
            </w:r>
            <w:r>
              <w:rPr>
                <w:color w:val="000000"/>
                <w:sz w:val="21"/>
                <w:szCs w:val="21"/>
                <w:highlight w:val="none"/>
                <w:lang w:bidi="ar"/>
              </w:rPr>
            </w:r>
            <w:r/>
          </w:p>
        </w:tc>
      </w:tr>
    </w:tbl>
    <w:p>
      <w:pPr>
        <w:pStyle w:val="1003"/>
        <w:spacing w:line="440" w:lineRule="exact"/>
        <w:widowControl/>
        <w:rPr>
          <w:color w:val="000000"/>
          <w:sz w:val="28"/>
          <w:szCs w:val="28"/>
          <w:highlight w:val="none"/>
        </w:rPr>
      </w:pPr>
      <w:r>
        <w:rPr>
          <w:color w:val="000000"/>
          <w:sz w:val="28"/>
          <w:szCs w:val="28"/>
          <w:highlight w:val="none"/>
        </w:rPr>
      </w:r>
      <w:r/>
    </w:p>
    <w:p>
      <w:pPr>
        <w:pStyle w:val="1003"/>
        <w:spacing w:line="440" w:lineRule="exact"/>
        <w:widowControl/>
        <w:rPr>
          <w:color w:val="000000"/>
          <w:sz w:val="28"/>
          <w:szCs w:val="28"/>
          <w:highlight w:val="none"/>
        </w:rPr>
      </w:pPr>
      <w:r>
        <w:rP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、WTO/TBT技术贸易壁垒管理系统信创改造</w:t>
      </w:r>
      <w:r>
        <w:rPr>
          <w:rFonts w:hint="eastAsia" w:ascii="宋体" w:hAnsi="宋体" w:eastAsia="宋体" w:cs="宋体"/>
          <w:color w:val="000000"/>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720"/>
        <w:gridCol w:w="6464"/>
      </w:tblGrid>
      <w:tr>
        <w:trPr>
          <w:trHeight w:val="567"/>
        </w:trPr>
        <w:tc>
          <w:tcPr>
            <w:tcW w:w="536"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新闻资讯</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维护各产业技术贸易壁垒信息和资讯。</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通报预警</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分为WTO/TBT 通报、最新预警两块信息发布内容。</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产业专题</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按六大产业分类，进行专题研究和信息发布。</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数据文库</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对六大产业按国外标准、法律法规、通报评议建立数据文库。</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检索服务</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通过检索条件检索数据文库信息。</w:t>
            </w:r>
            <w:r>
              <w:rPr>
                <w:color w:val="000000"/>
                <w:sz w:val="21"/>
                <w:szCs w:val="21"/>
                <w:highlight w:val="none"/>
                <w:lang w:bidi="ar"/>
              </w:rPr>
            </w:r>
            <w:r/>
          </w:p>
        </w:tc>
      </w:tr>
    </w:tbl>
    <w:p>
      <w:pPr>
        <w:pStyle w:val="1003"/>
        <w:spacing w:line="440" w:lineRule="exact"/>
        <w:widowControl/>
        <w:rPr>
          <w:rFonts w:ascii="Songti SC Regular" w:hAnsi="Songti SC Regular" w:eastAsia="Songti SC Regular" w:cs="Songti SC Regular"/>
          <w:color w:val="000000"/>
          <w:sz w:val="28"/>
          <w:szCs w:val="28"/>
          <w:highlight w:val="none"/>
        </w:rPr>
      </w:pPr>
      <w:r>
        <w:rPr>
          <w:rFonts w:ascii="Songti SC Regular" w:hAnsi="Songti SC Regular" w:eastAsia="Songti SC Regular" w:cs="Songti SC Regula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、质量管理板块信创改造</w:t>
      </w:r>
      <w:r>
        <w:rPr>
          <w:rFonts w:hint="eastAsia" w:ascii="宋体" w:hAnsi="宋体" w:eastAsia="宋体" w:cs="宋体"/>
          <w:color w:val="000000"/>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720"/>
        <w:gridCol w:w="6464"/>
      </w:tblGrid>
      <w:tr>
        <w:trPr>
          <w:trHeight w:val="567"/>
        </w:trPr>
        <w:tc>
          <w:tcPr>
            <w:tcW w:w="536"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首席质量官之家</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首席质量官的在线培训、学分管理、统一考核、线上交流、线上发证“一体化”流程</w:t>
            </w:r>
            <w:r>
              <w:rPr>
                <w:color w:val="000000"/>
                <w:sz w:val="21"/>
                <w:szCs w:val="21"/>
                <w:highlight w:val="none"/>
                <w:lang w:bidi="ar"/>
              </w:rPr>
            </w:r>
            <w:r/>
          </w:p>
        </w:tc>
      </w:tr>
      <w:tr>
        <w:trPr>
          <w:trHeight w:val="2685"/>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首席质量官联盟</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color w:val="000000"/>
                <w:sz w:val="21"/>
                <w:szCs w:val="21"/>
                <w:highlight w:val="none"/>
                <w:lang w:bidi="ar"/>
              </w:rPr>
              <w:t xml:space="preserve">通过技术交流、信息推送等形式，拓宽企业质量知识获取渠道，助企提升质量管理水平，不断增强市场竞争力</w:t>
            </w:r>
            <w:r>
              <w:rPr>
                <w:rFonts w:hint="eastAsia"/>
                <w:color w:val="000000"/>
                <w:sz w:val="21"/>
                <w:szCs w:val="21"/>
                <w:highlight w:val="none"/>
                <w:lang w:bidi="ar"/>
              </w:rPr>
              <w:t xml:space="preserve">。分设质量技术交流、质量培训、典型示范引领，</w:t>
            </w:r>
            <w:r>
              <w:rPr>
                <w:rFonts w:hint="eastAsia"/>
                <w:color w:val="000000"/>
                <w:sz w:val="21"/>
                <w:szCs w:val="21"/>
                <w:highlight w:val="none"/>
                <w:lang w:val="en-US" w:eastAsia="zh-CN" w:bidi="ar"/>
              </w:rPr>
              <w:t xml:space="preserve">并</w:t>
            </w:r>
            <w:r>
              <w:rPr>
                <w:rFonts w:hint="eastAsia"/>
                <w:color w:val="000000"/>
                <w:sz w:val="21"/>
                <w:szCs w:val="21"/>
                <w:highlight w:val="none"/>
                <w:lang w:bidi="ar"/>
              </w:rPr>
              <w:t xml:space="preserve">展现首席质量官联盟每个产业动态。</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质量品牌展示</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对南通精品家纺、江苏精品相关信息进行展示</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质量创新公共服务平台</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十大中心”（国家电动机产品质检中心、国家床上用品质量检验检测中心、国家高技术船舶绿色技术及智能制造产业计量测试中心、江苏省防爆电气产品质量检验检测中心、江苏省功能纤维及制品产业计量测试中心、国家标准审评中心江苏分中心南通工作站、技术与创新支持中心（TISC）、国家知识产权海外纠纷应对指导南通分中心、国家钢丝绳产品质量检验检测中心、南通（家纺）知识产权快速维权中心）功能、业务介绍</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38"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质量技术服务机构</w:t>
            </w:r>
            <w:r>
              <w:rPr>
                <w:color w:val="000000"/>
                <w:sz w:val="21"/>
                <w:szCs w:val="21"/>
                <w:highlight w:val="none"/>
                <w:lang w:bidi="ar"/>
              </w:rPr>
            </w:r>
            <w:r/>
          </w:p>
        </w:tc>
        <w:tc>
          <w:tcPr>
            <w:tcW w:w="3525"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南通市市场监督管理局直属单位职能介绍</w:t>
            </w:r>
            <w:r>
              <w:rPr>
                <w:color w:val="000000"/>
                <w:sz w:val="21"/>
                <w:szCs w:val="21"/>
                <w:highlight w:val="none"/>
                <w:lang w:bidi="ar"/>
              </w:rPr>
            </w:r>
            <w:r/>
          </w:p>
        </w:tc>
      </w:tr>
    </w:tbl>
    <w:p>
      <w:pPr>
        <w:pStyle w:val="1003"/>
        <w:spacing w:line="440" w:lineRule="exact"/>
        <w:widowControl/>
        <w:rPr>
          <w:rFonts w:ascii="Songti SC Regular" w:hAnsi="Songti SC Regular" w:eastAsia="Songti SC Regular" w:cs="Songti SC Regular"/>
          <w:color w:val="000000"/>
          <w:sz w:val="28"/>
          <w:szCs w:val="28"/>
          <w:highlight w:val="none"/>
        </w:rPr>
      </w:pPr>
      <w:r>
        <w:rPr>
          <w:rFonts w:ascii="Songti SC Regular" w:hAnsi="Songti SC Regular" w:eastAsia="Songti SC Regular" w:cs="Songti SC Regular"/>
          <w:color w:val="000000"/>
          <w:sz w:val="28"/>
          <w:szCs w:val="28"/>
          <w:highlight w:val="none"/>
        </w:rPr>
      </w:r>
      <w:r/>
    </w:p>
    <w:p>
      <w:pPr>
        <w:pStyle w:val="1003"/>
        <w:spacing w:line="440" w:lineRule="exact"/>
        <w:widowControl/>
        <w:rPr>
          <w:rFonts w:ascii="仿宋" w:hAnsi="仿宋" w:eastAsia="方正仿宋_GBK"/>
          <w:color w:val="000000"/>
          <w:sz w:val="32"/>
          <w:szCs w:val="32"/>
          <w:highlight w:val="none"/>
        </w:rPr>
      </w:pPr>
      <w:r>
        <w:rPr>
          <w:rFonts w:ascii="仿宋" w:hAnsi="仿宋" w:eastAsia="方正仿宋_GBK"/>
          <w:color w:val="000000"/>
          <w:sz w:val="32"/>
          <w:szCs w:val="32"/>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、政策直达板块信创改造</w:t>
      </w:r>
      <w:r>
        <w:rPr>
          <w:rFonts w:hint="eastAsia" w:ascii="宋体" w:hAnsi="宋体" w:eastAsia="宋体" w:cs="宋体"/>
          <w:color w:val="000000"/>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650"/>
        <w:gridCol w:w="6534"/>
      </w:tblGrid>
      <w:tr>
        <w:trPr>
          <w:trHeight w:val="567"/>
        </w:trPr>
        <w:tc>
          <w:tcPr>
            <w:tcW w:w="536"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质量管理奖励</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“中国质量奖/中国质量奖提名奖”、“江苏省省长质量奖/江苏省省长质量奖提名奖”、“南通市市长质量奖/南通市市长质量奖提名奖”等的相关政策</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标准化奖励</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主导制定、修订国际标准、国家标准、行业标准等奖励性政策；制定发布江苏省地方标准、团体标准等奖补性政策</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认证奖励</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能源管理体系、认证节能产品认证、低碳产品认证、绿色产品认证相关奖励性政策</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知识产权奖励</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中国专利奖、江苏专利奖、市专利金奖、优秀奖、发明人奖等相关奖励政策</w:t>
            </w:r>
            <w:r>
              <w:rPr>
                <w:color w:val="000000"/>
                <w:sz w:val="21"/>
                <w:szCs w:val="21"/>
                <w:highlight w:val="none"/>
                <w:lang w:bidi="ar"/>
              </w:rPr>
            </w:r>
            <w:r/>
          </w:p>
        </w:tc>
      </w:tr>
      <w:tr>
        <w:trPr>
          <w:trHeight w:val="567"/>
        </w:trPr>
        <w:tc>
          <w:tcPr>
            <w:tcW w:w="536"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5</w:t>
            </w:r>
            <w:r>
              <w:rPr>
                <w:color w:val="000000"/>
                <w:sz w:val="21"/>
                <w:szCs w:val="21"/>
                <w:highlight w:val="none"/>
                <w:lang w:bidi="ar"/>
              </w:rPr>
            </w:r>
            <w:r/>
          </w:p>
        </w:tc>
        <w:tc>
          <w:tcPr>
            <w:tcW w:w="900"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生物医药奖励</w:t>
            </w:r>
            <w:r>
              <w:rPr>
                <w:color w:val="000000"/>
                <w:sz w:val="21"/>
                <w:szCs w:val="21"/>
                <w:highlight w:val="none"/>
                <w:lang w:bidi="ar"/>
              </w:rPr>
            </w:r>
            <w:r/>
          </w:p>
        </w:tc>
        <w:tc>
          <w:tcPr>
            <w:tcW w:w="3563"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鼓励产业发展、鼓励境外上市等奖励标准</w:t>
            </w:r>
            <w:r>
              <w:rPr>
                <w:color w:val="000000"/>
                <w:sz w:val="21"/>
                <w:szCs w:val="21"/>
                <w:highlight w:val="none"/>
                <w:lang w:bidi="ar"/>
              </w:rPr>
            </w:r>
            <w:r/>
          </w:p>
        </w:tc>
      </w:tr>
    </w:tbl>
    <w:p>
      <w:pPr>
        <w:pStyle w:val="1003"/>
        <w:spacing w:line="440" w:lineRule="exact"/>
        <w:widowControl/>
        <w:rPr>
          <w:rFonts w:ascii="仿宋" w:hAnsi="仿宋" w:eastAsia="方正仿宋_GBK"/>
          <w:color w:val="000000"/>
          <w:sz w:val="32"/>
          <w:szCs w:val="32"/>
          <w:highlight w:val="none"/>
        </w:rPr>
      </w:pPr>
      <w:r>
        <w:rPr>
          <w:rFonts w:ascii="仿宋" w:hAnsi="仿宋" w:eastAsia="方正仿宋_GBK"/>
          <w:color w:val="000000"/>
          <w:sz w:val="32"/>
          <w:szCs w:val="32"/>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、市监直通板块信创改造</w:t>
      </w:r>
      <w:r>
        <w:rPr>
          <w:rFonts w:hint="eastAsia" w:ascii="宋体" w:hAnsi="宋体" w:eastAsia="宋体" w:cs="宋体"/>
          <w:color w:val="000000"/>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2679"/>
        <w:gridCol w:w="5210"/>
      </w:tblGrid>
      <w:tr>
        <w:trPr>
          <w:trHeight w:val="490"/>
        </w:trPr>
        <w:tc>
          <w:tcPr>
            <w:tcW w:w="697"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1461"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2841"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567"/>
        </w:trPr>
        <w:tc>
          <w:tcPr>
            <w:tcW w:w="697"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1461"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评价建议</w:t>
            </w:r>
            <w:r>
              <w:rPr>
                <w:color w:val="000000"/>
                <w:sz w:val="21"/>
                <w:szCs w:val="21"/>
                <w:highlight w:val="none"/>
                <w:lang w:bidi="ar"/>
              </w:rPr>
            </w:r>
            <w:r/>
          </w:p>
        </w:tc>
        <w:tc>
          <w:tcPr>
            <w:tcW w:w="284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互通建议，线上交流</w:t>
            </w:r>
            <w:r>
              <w:rPr>
                <w:color w:val="000000"/>
                <w:sz w:val="21"/>
                <w:szCs w:val="21"/>
                <w:highlight w:val="none"/>
                <w:lang w:bidi="ar"/>
              </w:rPr>
            </w:r>
            <w:r/>
          </w:p>
        </w:tc>
      </w:tr>
      <w:tr>
        <w:trPr>
          <w:trHeight w:val="567"/>
        </w:trPr>
        <w:tc>
          <w:tcPr>
            <w:tcW w:w="697"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146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市事通会客热线</w:t>
            </w:r>
            <w:r>
              <w:rPr>
                <w:color w:val="000000"/>
                <w:sz w:val="21"/>
                <w:szCs w:val="21"/>
                <w:highlight w:val="none"/>
                <w:lang w:bidi="ar"/>
              </w:rPr>
            </w:r>
            <w:r/>
          </w:p>
        </w:tc>
        <w:tc>
          <w:tcPr>
            <w:tcW w:w="284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咨询、交流热线</w:t>
            </w:r>
            <w:r>
              <w:rPr>
                <w:color w:val="000000"/>
                <w:sz w:val="21"/>
                <w:szCs w:val="21"/>
                <w:highlight w:val="none"/>
                <w:lang w:bidi="ar"/>
              </w:rPr>
            </w:r>
            <w:r/>
          </w:p>
        </w:tc>
      </w:tr>
      <w:tr>
        <w:trPr>
          <w:trHeight w:val="567"/>
        </w:trPr>
        <w:tc>
          <w:tcPr>
            <w:tcW w:w="697"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146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“市事通”企业诉求直报码</w:t>
            </w:r>
            <w:r>
              <w:rPr>
                <w:color w:val="000000"/>
                <w:sz w:val="21"/>
                <w:szCs w:val="21"/>
                <w:highlight w:val="none"/>
                <w:lang w:bidi="ar"/>
              </w:rPr>
            </w:r>
            <w:r/>
          </w:p>
        </w:tc>
        <w:tc>
          <w:tcPr>
            <w:tcW w:w="284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企业诉求通道</w:t>
            </w:r>
            <w:r>
              <w:rPr>
                <w:color w:val="000000"/>
                <w:sz w:val="21"/>
                <w:szCs w:val="21"/>
                <w:highlight w:val="none"/>
                <w:lang w:bidi="ar"/>
              </w:rPr>
            </w:r>
            <w:r/>
          </w:p>
        </w:tc>
      </w:tr>
      <w:tr>
        <w:trPr>
          <w:trHeight w:val="567"/>
        </w:trPr>
        <w:tc>
          <w:tcPr>
            <w:tcW w:w="697" w:type="dxa"/>
            <w:vAlign w:val="center"/>
            <w:textDirection w:val="lrTb"/>
            <w:noWrap w:val="false"/>
          </w:tcPr>
          <w:p>
            <w:pPr>
              <w:pStyle w:val="953"/>
              <w:ind w:firstLine="420"/>
              <w:jc w:val="center"/>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146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“市场监管”公众号</w:t>
            </w:r>
            <w:r>
              <w:rPr>
                <w:color w:val="000000"/>
                <w:sz w:val="21"/>
                <w:szCs w:val="21"/>
                <w:highlight w:val="none"/>
                <w:lang w:bidi="ar"/>
              </w:rPr>
            </w:r>
            <w:r/>
          </w:p>
        </w:tc>
        <w:tc>
          <w:tcPr>
            <w:tcW w:w="2841"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“市场监管”公众号访问</w:t>
            </w:r>
            <w:r>
              <w:rPr>
                <w:color w:val="000000"/>
                <w:sz w:val="21"/>
                <w:szCs w:val="21"/>
                <w:highlight w:val="none"/>
                <w:lang w:bidi="ar"/>
              </w:rPr>
            </w:r>
            <w:r/>
          </w:p>
        </w:tc>
      </w:tr>
    </w:tbl>
    <w:p>
      <w:pPr>
        <w:pStyle w:val="1003"/>
        <w:spacing w:line="560" w:lineRule="exact"/>
        <w:widowControl/>
        <w:rPr>
          <w:rFonts w:ascii="Songti SC Regular" w:hAnsi="Songti SC Regular" w:eastAsia="Songti SC Regular" w:cs="Songti SC Regular"/>
          <w:color w:val="000000"/>
          <w:sz w:val="28"/>
          <w:szCs w:val="28"/>
          <w:highlight w:val="none"/>
        </w:rPr>
      </w:pPr>
      <w:r>
        <w:rPr>
          <w:rFonts w:ascii="Songti SC Regular" w:hAnsi="Songti SC Regular" w:eastAsia="Songti SC Regular" w:cs="Songti SC Regula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、产品分类服务信创改造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综合查询专栏，通过构建检索规则库，借助大数据模型，提供精准查询定位。可实现输入相关关键词例如某产品，结果输出与该产品相关的标准，产品检测机构、认证、技术贸易壁垒情况的“多项式”智能搜索功能。</w:t>
      </w:r>
      <w:r>
        <w:rPr>
          <w:rFonts w:hint="eastAsia" w:ascii="宋体" w:hAnsi="宋体" w:cs="宋体"/>
          <w:color w:val="000000"/>
          <w:sz w:val="24"/>
          <w:szCs w:val="24"/>
          <w:highlight w:val="none"/>
        </w:rPr>
      </w:r>
      <w:r/>
    </w:p>
    <w:p>
      <w:pPr>
        <w:pStyle w:val="1003"/>
        <w:spacing w:line="560" w:lineRule="exact"/>
        <w:widowControl/>
        <w:rPr>
          <w:rFonts w:ascii="Songti SC Regular" w:hAnsi="Songti SC Regular" w:eastAsia="Songti SC Regular" w:cs="Songti SC Regular"/>
          <w:color w:val="000000"/>
          <w:sz w:val="28"/>
          <w:szCs w:val="28"/>
          <w:highlight w:val="none"/>
        </w:rPr>
      </w:pPr>
      <w:r>
        <w:rPr>
          <w:rFonts w:ascii="Songti SC Regular" w:hAnsi="Songti SC Regular" w:eastAsia="Songti SC Regular" w:cs="Songti SC Regular"/>
          <w:color w:val="000000"/>
          <w:sz w:val="28"/>
          <w:szCs w:val="28"/>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、重点工作专栏信创改造</w:t>
      </w:r>
      <w:r>
        <w:rPr>
          <w:rFonts w:hint="eastAsia" w:ascii="宋体" w:hAnsi="宋体" w:eastAsia="宋体" w:cs="宋体"/>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889"/>
        <w:gridCol w:w="5719"/>
      </w:tblGrid>
      <w:tr>
        <w:trPr>
          <w:trHeight w:val="567"/>
        </w:trPr>
        <w:tc>
          <w:tcPr>
            <w:tcW w:w="914"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序号</w:t>
            </w:r>
            <w:r>
              <w:rPr>
                <w:color w:val="000000"/>
                <w:sz w:val="21"/>
                <w:szCs w:val="21"/>
                <w:highlight w:val="none"/>
                <w:lang w:bidi="ar"/>
              </w:rPr>
            </w:r>
            <w:r/>
          </w:p>
        </w:tc>
        <w:tc>
          <w:tcPr>
            <w:tcW w:w="188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功能</w:t>
            </w:r>
            <w:r>
              <w:rPr>
                <w:color w:val="000000"/>
                <w:sz w:val="21"/>
                <w:szCs w:val="21"/>
                <w:highlight w:val="none"/>
                <w:lang w:bidi="ar"/>
              </w:rPr>
            </w:r>
            <w:r/>
          </w:p>
        </w:tc>
        <w:tc>
          <w:tcPr>
            <w:tcW w:w="57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描述</w:t>
            </w:r>
            <w:r>
              <w:rPr>
                <w:color w:val="000000"/>
                <w:sz w:val="21"/>
                <w:szCs w:val="21"/>
                <w:highlight w:val="none"/>
                <w:lang w:bidi="ar"/>
              </w:rPr>
            </w:r>
            <w:r/>
          </w:p>
        </w:tc>
      </w:tr>
      <w:tr>
        <w:trPr>
          <w:trHeight w:val="4970"/>
        </w:trPr>
        <w:tc>
          <w:tcPr>
            <w:tcW w:w="914"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1</w:t>
            </w:r>
            <w:r>
              <w:rPr>
                <w:color w:val="000000"/>
                <w:sz w:val="21"/>
                <w:szCs w:val="21"/>
                <w:highlight w:val="none"/>
                <w:lang w:bidi="ar"/>
              </w:rPr>
            </w:r>
            <w:r/>
          </w:p>
        </w:tc>
        <w:tc>
          <w:tcPr>
            <w:tcW w:w="188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w:t>
            </w:r>
            <w:r>
              <w:rPr>
                <w:color w:val="000000"/>
                <w:sz w:val="21"/>
                <w:szCs w:val="21"/>
                <w:highlight w:val="none"/>
                <w:lang w:bidi="ar"/>
              </w:rPr>
              <w:t xml:space="preserve">市监店小二</w:t>
            </w:r>
            <w:r>
              <w:rPr>
                <w:rFonts w:hint="eastAsia"/>
                <w:color w:val="000000"/>
                <w:sz w:val="21"/>
                <w:szCs w:val="21"/>
                <w:highlight w:val="none"/>
                <w:lang w:bidi="ar"/>
              </w:rPr>
              <w:t xml:space="preserve">”</w:t>
            </w:r>
            <w:r>
              <w:rPr>
                <w:color w:val="000000"/>
                <w:sz w:val="21"/>
                <w:szCs w:val="21"/>
                <w:highlight w:val="none"/>
                <w:lang w:bidi="ar"/>
              </w:rPr>
              <w:t xml:space="preserve">全天候数字化接单</w:t>
            </w:r>
            <w:r>
              <w:rPr>
                <w:rFonts w:hint="eastAsia"/>
                <w:color w:val="000000"/>
                <w:sz w:val="21"/>
                <w:szCs w:val="21"/>
                <w:highlight w:val="none"/>
                <w:lang w:bidi="ar"/>
              </w:rPr>
              <w:t xml:space="preserve">（标准服务板块）</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color w:val="000000"/>
                <w:sz w:val="21"/>
                <w:szCs w:val="21"/>
                <w:highlight w:val="none"/>
                <w:lang w:bidi="ar"/>
              </w:rPr>
            </w:r>
            <w:r/>
          </w:p>
        </w:tc>
        <w:tc>
          <w:tcPr>
            <w:tcW w:w="5719" w:type="dxa"/>
            <w:vAlign w:val="center"/>
            <w:textDirection w:val="lrTb"/>
            <w:noWrap w:val="false"/>
          </w:tcPr>
          <w:p>
            <w:pPr>
              <w:pStyle w:val="953"/>
              <w:spacing w:before="156" w:after="156" w:line="560" w:lineRule="exact"/>
              <w:rPr>
                <w:color w:val="000000"/>
                <w:sz w:val="21"/>
                <w:szCs w:val="21"/>
                <w:highlight w:val="none"/>
                <w:lang w:bidi="ar"/>
              </w:rPr>
            </w:pPr>
            <w:r>
              <w:rPr>
                <w:color w:val="000000"/>
                <w:sz w:val="21"/>
                <w:szCs w:val="21"/>
                <w:highlight w:val="none"/>
                <w:lang w:bidi="ar"/>
              </w:rPr>
              <w:t xml:space="preserve">据标准服务业务需求，深度整合涉企</w:t>
            </w:r>
            <w:r>
              <w:rPr>
                <w:rFonts w:hint="eastAsia"/>
                <w:color w:val="000000"/>
                <w:sz w:val="21"/>
                <w:szCs w:val="21"/>
                <w:highlight w:val="none"/>
                <w:lang w:bidi="ar"/>
              </w:rPr>
              <w:t xml:space="preserve">标准</w:t>
            </w:r>
            <w:r>
              <w:rPr>
                <w:color w:val="000000"/>
                <w:sz w:val="21"/>
                <w:szCs w:val="21"/>
                <w:highlight w:val="none"/>
                <w:lang w:bidi="ar"/>
              </w:rPr>
              <w:t xml:space="preserve">服务</w:t>
            </w:r>
            <w:r>
              <w:rPr>
                <w:rFonts w:hint="eastAsia"/>
                <w:color w:val="000000"/>
                <w:sz w:val="21"/>
                <w:szCs w:val="21"/>
                <w:highlight w:val="none"/>
                <w:lang w:bidi="ar"/>
              </w:rPr>
              <w:t xml:space="preserve">功能</w:t>
            </w:r>
            <w:r>
              <w:rPr>
                <w:color w:val="000000"/>
                <w:sz w:val="21"/>
                <w:szCs w:val="21"/>
                <w:highlight w:val="none"/>
                <w:lang w:bidi="ar"/>
              </w:rPr>
              <w:t xml:space="preserve">，完善功能模块，实现线上</w:t>
            </w:r>
            <w:r>
              <w:rPr>
                <w:rFonts w:hint="eastAsia"/>
                <w:color w:val="000000"/>
                <w:sz w:val="21"/>
                <w:szCs w:val="21"/>
                <w:highlight w:val="none"/>
                <w:lang w:bidi="ar"/>
              </w:rPr>
              <w:t xml:space="preserve">“</w:t>
            </w:r>
            <w:r>
              <w:rPr>
                <w:color w:val="000000"/>
                <w:sz w:val="21"/>
                <w:szCs w:val="21"/>
                <w:highlight w:val="none"/>
                <w:lang w:bidi="ar"/>
              </w:rPr>
              <w:t xml:space="preserve">市监店小二</w:t>
            </w:r>
            <w:r>
              <w:rPr>
                <w:rFonts w:hint="eastAsia"/>
                <w:color w:val="000000"/>
                <w:sz w:val="21"/>
                <w:szCs w:val="21"/>
                <w:highlight w:val="none"/>
                <w:lang w:bidi="ar"/>
              </w:rPr>
              <w:t xml:space="preserve">”</w:t>
            </w:r>
            <w:r>
              <w:rPr>
                <w:color w:val="000000"/>
                <w:sz w:val="21"/>
                <w:szCs w:val="21"/>
                <w:highlight w:val="none"/>
                <w:lang w:bidi="ar"/>
              </w:rPr>
              <w:t xml:space="preserve">全天候数字化接单管理、精准化回应诉求，持续提升数字服务的集成度和便利度</w:t>
            </w:r>
            <w:r>
              <w:rPr>
                <w:rFonts w:hint="eastAsia"/>
                <w:color w:val="000000"/>
                <w:sz w:val="21"/>
                <w:szCs w:val="21"/>
                <w:highlight w:val="none"/>
                <w:lang w:bidi="ar"/>
              </w:rPr>
              <w:t xml:space="preserve">。</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（1）标准有效性确认服务</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（2）标准精准内训服务</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（3）标准托管服务</w:t>
            </w:r>
            <w:r>
              <w:rPr>
                <w:color w:val="000000"/>
                <w:sz w:val="21"/>
                <w:szCs w:val="21"/>
                <w:highlight w:val="none"/>
                <w:lang w:bidi="ar"/>
              </w:rPr>
            </w:r>
            <w:r/>
          </w:p>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（4）企业标准制修订服务</w:t>
            </w:r>
            <w:r>
              <w:rPr>
                <w:color w:val="000000"/>
                <w:sz w:val="21"/>
                <w:szCs w:val="21"/>
                <w:highlight w:val="none"/>
                <w:lang w:bidi="ar"/>
              </w:rPr>
            </w:r>
            <w:r/>
          </w:p>
        </w:tc>
      </w:tr>
      <w:tr>
        <w:trPr>
          <w:trHeight w:val="567"/>
        </w:trPr>
        <w:tc>
          <w:tcPr>
            <w:tcW w:w="914"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2</w:t>
            </w:r>
            <w:r>
              <w:rPr>
                <w:color w:val="000000"/>
                <w:sz w:val="21"/>
                <w:szCs w:val="21"/>
                <w:highlight w:val="none"/>
                <w:lang w:bidi="ar"/>
              </w:rPr>
            </w:r>
            <w:r/>
          </w:p>
        </w:tc>
        <w:tc>
          <w:tcPr>
            <w:tcW w:w="188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合规经营指导专栏</w:t>
            </w:r>
            <w:r>
              <w:rPr>
                <w:color w:val="000000"/>
                <w:sz w:val="21"/>
                <w:szCs w:val="21"/>
                <w:highlight w:val="none"/>
                <w:lang w:bidi="ar"/>
              </w:rPr>
            </w:r>
            <w:r/>
          </w:p>
        </w:tc>
        <w:tc>
          <w:tcPr>
            <w:tcW w:w="57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通过平台向用户提供市场监管领域法律法规查询、合规指导清单查询服务，开通“邀约式”法治体检、“订单式”普法线上申请渠道，帮助用户更加便捷、更加精准获取市场监管领域合规经营指导服务。（一）法律法规查询；（二）合规指导清单+手册；（三）</w:t>
            </w:r>
            <w:r>
              <w:rPr>
                <w:color w:val="000000"/>
                <w:sz w:val="21"/>
                <w:szCs w:val="21"/>
                <w:highlight w:val="none"/>
                <w:lang w:bidi="ar"/>
              </w:rPr>
              <w:t xml:space="preserve">“邀约式”法治体检</w:t>
            </w:r>
            <w:r>
              <w:rPr>
                <w:rFonts w:hint="eastAsia"/>
                <w:color w:val="000000"/>
                <w:sz w:val="21"/>
                <w:szCs w:val="21"/>
                <w:highlight w:val="none"/>
                <w:lang w:bidi="ar"/>
              </w:rPr>
              <w:t xml:space="preserve">；（四）“订单式”普法服务</w:t>
            </w:r>
            <w:r>
              <w:rPr>
                <w:color w:val="000000"/>
                <w:sz w:val="21"/>
                <w:szCs w:val="21"/>
                <w:highlight w:val="none"/>
                <w:lang w:bidi="ar"/>
              </w:rPr>
            </w:r>
            <w:r/>
          </w:p>
        </w:tc>
      </w:tr>
      <w:tr>
        <w:trPr>
          <w:trHeight w:val="567"/>
        </w:trPr>
        <w:tc>
          <w:tcPr>
            <w:tcW w:w="914"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3</w:t>
            </w:r>
            <w:r>
              <w:rPr>
                <w:color w:val="000000"/>
                <w:sz w:val="21"/>
                <w:szCs w:val="21"/>
                <w:highlight w:val="none"/>
                <w:lang w:bidi="ar"/>
              </w:rPr>
            </w:r>
            <w:r/>
          </w:p>
        </w:tc>
        <w:tc>
          <w:tcPr>
            <w:tcW w:w="188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“5+5+X”专栏</w:t>
            </w:r>
            <w:r>
              <w:rPr>
                <w:color w:val="000000"/>
                <w:sz w:val="21"/>
                <w:szCs w:val="21"/>
                <w:highlight w:val="none"/>
                <w:lang w:bidi="ar"/>
              </w:rPr>
            </w:r>
            <w:r/>
          </w:p>
        </w:tc>
        <w:tc>
          <w:tcPr>
            <w:tcW w:w="57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根据5大重点产业（船舶海工、高端纺织、高端装备、新能源、电动工具）、5大攻坚领域（人工智能、机器人、集成电路、生物医药、海洋产业）分类，展示标准技术委员会信息、计量技术委员会信息。后台具备信息发布文字、网站链接等信息更新功能。</w:t>
            </w:r>
            <w:r>
              <w:rPr>
                <w:color w:val="000000"/>
                <w:sz w:val="21"/>
                <w:szCs w:val="21"/>
                <w:highlight w:val="none"/>
                <w:lang w:bidi="ar"/>
              </w:rPr>
            </w:r>
            <w:r/>
          </w:p>
        </w:tc>
      </w:tr>
      <w:tr>
        <w:trPr>
          <w:trHeight w:val="567"/>
        </w:trPr>
        <w:tc>
          <w:tcPr>
            <w:tcW w:w="914" w:type="dxa"/>
            <w:vAlign w:val="center"/>
            <w:textDirection w:val="lrTb"/>
            <w:noWrap w:val="false"/>
          </w:tcPr>
          <w:p>
            <w:pPr>
              <w:pStyle w:val="953"/>
              <w:ind w:firstLine="420"/>
              <w:spacing w:before="156" w:after="156" w:line="560" w:lineRule="exact"/>
              <w:rPr>
                <w:color w:val="000000"/>
                <w:sz w:val="21"/>
                <w:szCs w:val="21"/>
                <w:highlight w:val="none"/>
                <w:lang w:bidi="ar"/>
              </w:rPr>
            </w:pPr>
            <w:r>
              <w:rPr>
                <w:rFonts w:hint="eastAsia"/>
                <w:color w:val="000000"/>
                <w:sz w:val="21"/>
                <w:szCs w:val="21"/>
                <w:highlight w:val="none"/>
                <w:lang w:bidi="ar"/>
              </w:rPr>
              <w:t xml:space="preserve">4</w:t>
            </w:r>
            <w:r>
              <w:rPr>
                <w:color w:val="000000"/>
                <w:sz w:val="21"/>
                <w:szCs w:val="21"/>
                <w:highlight w:val="none"/>
                <w:lang w:bidi="ar"/>
              </w:rPr>
            </w:r>
            <w:r/>
          </w:p>
        </w:tc>
        <w:tc>
          <w:tcPr>
            <w:tcW w:w="188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“标准提升牵引设备更新和消费品”专栏</w:t>
            </w:r>
            <w:r>
              <w:rPr>
                <w:color w:val="000000"/>
                <w:sz w:val="21"/>
                <w:szCs w:val="21"/>
                <w:highlight w:val="none"/>
                <w:lang w:bidi="ar"/>
              </w:rPr>
            </w:r>
            <w:r/>
          </w:p>
        </w:tc>
        <w:tc>
          <w:tcPr>
            <w:tcW w:w="5719" w:type="dxa"/>
            <w:vAlign w:val="center"/>
            <w:textDirection w:val="lrTb"/>
            <w:noWrap w:val="false"/>
          </w:tcPr>
          <w:p>
            <w:pPr>
              <w:pStyle w:val="953"/>
              <w:spacing w:before="156" w:after="156" w:line="560" w:lineRule="exact"/>
              <w:rPr>
                <w:color w:val="000000"/>
                <w:sz w:val="21"/>
                <w:szCs w:val="21"/>
                <w:highlight w:val="none"/>
                <w:lang w:bidi="ar"/>
              </w:rPr>
            </w:pPr>
            <w:r>
              <w:rPr>
                <w:rFonts w:hint="eastAsia"/>
                <w:color w:val="000000"/>
                <w:sz w:val="21"/>
                <w:szCs w:val="21"/>
                <w:highlight w:val="none"/>
                <w:lang w:bidi="ar"/>
              </w:rPr>
              <w:t xml:space="preserve">根据“以标准提升牵引设备更新和消费品以旧换新行动方案”文件精神，对“重点制修订和实施国家标准清单”中的294个标准的制定情况、制定进度、标准解读和所在标委会（组织起草单位）信息予以实时动态显示。</w:t>
            </w:r>
            <w:r>
              <w:rPr>
                <w:color w:val="000000"/>
                <w:sz w:val="21"/>
                <w:szCs w:val="21"/>
                <w:highlight w:val="none"/>
                <w:lang w:bidi="ar"/>
              </w:rPr>
            </w:r>
            <w:r/>
          </w:p>
        </w:tc>
      </w:tr>
    </w:tbl>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、智慧市监服务信创改造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涉企服务业务的窗口和渠道，为企业的提供各类业务服务的“网站群”，方便企业查询各类信息。</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例如：行政许可（江苏政务服务网），提供南通市场监管局74个事项，125个办事服务。</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“知慧通”为我市有申请知识产权需求的企业，提供知识产权服务各项信息查询，业务办理等。</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“商标受理”为企业提供商标办理的流程、知识以及申办材料下载功能等，畅通企业办理的手续流程。</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、“标准托管”服务信创改造</w:t>
      </w:r>
      <w:r>
        <w:rPr>
          <w:rFonts w:hint="eastAsia" w:ascii="宋体" w:hAnsi="宋体" w:eastAsia="宋体" w:cs="宋体"/>
          <w:color w:val="000000"/>
          <w:sz w:val="28"/>
          <w:szCs w:val="28"/>
          <w:highlight w:val="none"/>
        </w:rPr>
      </w:r>
      <w:r/>
    </w:p>
    <w:p>
      <w:pPr>
        <w:pStyle w:val="1003"/>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 xml:space="preserve">“标准托管”为每家企业建立专属标准库，通过平台数据库实时跟踪比对，一旦发现企业的执行标准发生废止、被替代、有新标准即将实施等情况，立即推送消息通知企业，确保企业所执行的各类标准始终保持最新状态。</w:t>
      </w:r>
      <w:r>
        <w:rPr>
          <w:rFonts w:hint="eastAsia" w:ascii="宋体" w:hAnsi="宋体" w:eastAsia="宋体" w:cs="宋体"/>
          <w:color w:val="000000"/>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、“标准托管”2.0版信创改造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“标准托管”2.0版在原有标准托管基础上增加标准解读及精准推送功能。</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准解读及精准推送服务利用市监标准信息资源优势,通过收集、分析、研判、解读等方式,为我市重点产业链及旗舰领航企业提供标准托管增值服务，引导重点企业关注整个产业链标准前言动态，并及时调整公司标准化战略。</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（1）产业链标准信息搜索统计功能（定期自动扫描）。根据标准托管企业数据库ICS分类号定期扫描分析近期发布或即将实施的标准信息，并根据ICS分类号分产业链形成统计表格，统计信息包括</w:t>
      </w:r>
      <w:bookmarkStart w:id="198" w:name="OLE_LINK4"/>
      <w:r/>
      <w:bookmarkStart w:id="199" w:name="OLE_LINK5"/>
      <w:r>
        <w:rPr>
          <w:rFonts w:hint="eastAsia" w:ascii="宋体" w:hAnsi="宋体" w:cs="宋体"/>
          <w:color w:val="000000"/>
          <w:sz w:val="24"/>
          <w:szCs w:val="24"/>
          <w:highlight w:val="none"/>
        </w:rPr>
        <w:t xml:space="preserve">产业链名称、标准ICS分类号、</w:t>
      </w:r>
      <w:bookmarkEnd w:id="198"/>
      <w:r/>
      <w:bookmarkEnd w:id="199"/>
      <w:r>
        <w:rPr>
          <w:rFonts w:hint="eastAsia" w:ascii="宋体" w:hAnsi="宋体" w:cs="宋体"/>
          <w:color w:val="000000"/>
          <w:sz w:val="24"/>
          <w:szCs w:val="24"/>
          <w:highlight w:val="none"/>
        </w:rPr>
        <w:t xml:space="preserve">标准名称、标准号、发布日期、实施日期等。</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（2）产业链标准信息分类推送功能（定期自动推送）。对统计的近期发布或实施的产业链标准信息按照ICS分类号分别推送给纳入标准托管库的对应的产业链相关企业。提醒企业及时关注产业链标准信息动态。</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产业链标准解读精准推送功能（不定期半自动推送）。根据产业链标准信息搜索统计的数据，人工选择部分重点标准通过一图读懂的方式进行标准解读，解读好的标准由人工手动上传到系统，系统按照ICS分类号分别推送给纳入标准托管库的对应的产业链相关企业。提醒企业及时关注产业链标准信息解读。</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（4）统计功能。统计推送企业数、人次数，按企业、产业可分类查询。</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、南通市家纺产品标识体检子系统信创改造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帮助家纺企业规范标识标签制作，提高家纺产品整体质量水平，开辟家纺产品标识标注指引模块，为家纺产品经营单位免费提供产品标识诊断服务。</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家纺标识”由“标识上传”、“审核列表”、“留言栏”三大板块组成。（1）标识上传。点击“选择文件”，弹出“拍摄”、“从相册选择”按钮，可现场拍摄相关标识或者从手机相册中、电脑中选择已经拍摄好的标识，命名后上传。（2）标识审核。市场监管工作人员对上传的标识进行审核后，可查看结果。（3）留言互动。“家纺标识”设有“留言栏”，回答用户对家纺产品的相关问题。</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、特种设备作业人员报考系统信创改造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（1）考试报名：学员通过扫二维码或者手机检索进入“通通检”公众号，注册完成后进入报名系统进行理论考试报名，选取自己需要报名的批次确认，后台审核学员信息并发送报名成功与否的短信提示。</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（2）成绩录入：理论考试后，后台录入理论成绩，成绩高于70则为通过，学员信息自动进入实践考试数据库中。</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（3）批次安排：后台从数据库中选取学员信息安排实践考试（或开放部分或所有名额给学员进行预约），安排好后发送考试批次</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短信提示。</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发放证书：实践考试结束后，录入成绩，成绩高于70分则为通过，学员信息自动进入发证数据库，生成发证信息。</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、特种设备考试管理平台信创改造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（1）理论考试预约功能</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发在线预约系统，允许考生根据个人时间安排，在线预约理论考试时间。管理人员导入可预约理论批次，设置好考生人数，即可上传并开放预约通道，考生根据时间自行上传相关信息（附表1）进行预约，预约完成发送预约成功短信，确保预约的有效性。预约成功后，考生不可自行取消及修改，可电话联系更改。此功能需与平台现有功能连接，理论考试批次预约人数约满后，需自行生成理论考试批次显示于理论考试批次页面中，能继续在平台中用原有功能进行操作。</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（2）超期预警功能</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置预警阈值，当考生从报名到预约理论考试的等待时间超过预设值时，系统自动触发预警，通知相关管理人员。预警信息需包含考生姓名、报名日期、预约状态等关键信息，以便管理人员及时采取措施，缩短考生等待时间。相关信息需可从平台上下载生成excel文件。</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（3）报名单位考生过多预警功能</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置预警阈值，针对同一报名单位，当报名人数超过预设值时，系统自动触发预警。预警信息需包含报名单位名称、报名人数、已预约考试人数等关键信息，以便管理人员评估考试资源分配，避免资源紧张。相关信息需可从平台上下载生成excel文件。</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（4）发证提醒功能</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平台上每批次自动生成发证申请考生名单，提交至发证条目中，发证人员出具证书并在平台中点击确认并同时发送取证通知短信，以便考生及时领取。</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19</w:t>
      </w:r>
      <w:r>
        <w:rPr>
          <w:rFonts w:hint="eastAsia" w:ascii="宋体" w:hAnsi="宋体" w:eastAsia="宋体" w:cs="宋体"/>
          <w:color w:val="000000"/>
          <w:sz w:val="28"/>
          <w:szCs w:val="28"/>
          <w:highlight w:val="none"/>
        </w:rPr>
        <w:t xml:space="preserve">、“市事通”智能问答机器人信创改造</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市事通”智能问答机器人具有多项强大的全天候互动功能，提供7*24小时在线服务，及时解答企业在标准化方面的各种问题，创新性的将人工智能与“市事通·通通检”平台标准资源库融合，构建“问题-标准”动态映射模型，企业如提问标准化方面的问题，通过语义关联自动匹配适用标准并提供“标准”的查询下载，快速、精确指引企业解决标准化方面的问题，为企业提供智能化标准服务，大大提升了企业检索标准的时效性、标准适用的准确性、标准服务的及时性。同时“市事通”智能问答机器人具备自主学习能力，能够实时更新知识库，为企业提供更加精准的支持。</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将“市事通·通通检”平台标准、检验检测、计量检定、认证认可数据库融为一体，依托DeepSeek强大的搜索能力和高效的模型效能，构建“问题-标准、检验检测、计量、认证认可”动态综合模型，实现“质量基础服务”云端智能协同综合服务应用场景，有力提升了产业链协同效率。</w:t>
      </w:r>
      <w:r>
        <w:rPr>
          <w:rFonts w:hint="eastAsia" w:ascii="宋体" w:hAnsi="宋体" w:cs="宋体"/>
          <w:color w:val="000000"/>
          <w:sz w:val="24"/>
          <w:szCs w:val="24"/>
          <w:highlight w:val="none"/>
        </w:rPr>
      </w:r>
      <w:r/>
    </w:p>
    <w:p>
      <w:pPr>
        <w:pStyle w:val="891"/>
        <w:spacing w:line="0" w:lineRule="atLeast"/>
        <w:rPr>
          <w:rFonts w:eastAsia="方正仿宋_GBK"/>
          <w:bCs/>
          <w:color w:val="000000"/>
          <w:sz w:val="24"/>
          <w:szCs w:val="24"/>
          <w:highlight w:val="none"/>
        </w:rPr>
      </w:pPr>
      <w:r>
        <w:rPr>
          <w:rFonts w:eastAsia="方正仿宋_GBK"/>
          <w:bCs/>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、“国际标准，你荐我买”栏目</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1、企业通过“国际标准，你荐我买”栏目提出需求，并填写企业名称、企业地址、标准号、标准名称、联系人电话、推荐理由等信息。</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2、平台定期（每月或每季度）整理企业需求，并挑选需求较多的国际标准，联系购买，并及时告知推荐企业办理进度。 </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3、标准入库之后，通过标准直享站模块，定向推送给企业，供企业查询阅读。</w:t>
      </w:r>
      <w:r>
        <w:rPr>
          <w:rFonts w:hint="eastAsia" w:ascii="宋体" w:hAnsi="宋体" w:cs="宋体"/>
          <w:color w:val="000000"/>
          <w:sz w:val="24"/>
          <w:szCs w:val="24"/>
          <w:highlight w:val="none"/>
        </w:rPr>
      </w:r>
      <w:r/>
    </w:p>
    <w:p>
      <w:pPr>
        <w:pStyle w:val="894"/>
        <w:spacing w:before="240" w:after="120" w:line="56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（二）实施交付要求</w:t>
      </w:r>
      <w:r>
        <w:rPr>
          <w:rFonts w:ascii="黑体" w:hAnsi="黑体" w:eastAsia="黑体"/>
          <w:color w:val="000000"/>
          <w:sz w:val="28"/>
          <w:szCs w:val="28"/>
          <w:highlight w:val="none"/>
        </w:rPr>
      </w:r>
      <w:r/>
    </w:p>
    <w:p>
      <w:pPr>
        <w:pStyle w:val="1003"/>
        <w:spacing w:line="56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1、技术要求</w:t>
      </w:r>
      <w:r>
        <w:rPr>
          <w:rFonts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项目建设将搭建南通市大数据局信创云，遵循国家信息安全标准，采用加密技术、防火墙、入侵检测系统等措施，确保平台数据的安全传输和存储，满足“市企通”平台的企业和个人用户对数据隐私保护的需求。</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针对国产化软硬件环境，进行平台代码的兼容性改造和测试，确保平台能在国产操作系统、数据库、服务器等环境下稳定运行。</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通过定义统一的数据标准和接口规范，以及采用智能数据匹配和清洗技术，减少数据整合过程中的冲突和冗余。</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实施负载均衡、故障转移、数据备份与恢复策略，确保系统的高可用性；加强安全审计和监控，及时发现并应对潜在的安全威胁。</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通过合理利用现有技术资源，采用先进的设计理念和技术架构，解决数据整合、系统稳定性、国产化适配等技术问题。</w:t>
      </w:r>
      <w:r>
        <w:rPr>
          <w:rFonts w:hint="eastAsia" w:ascii="宋体" w:hAnsi="宋体" w:cs="宋体"/>
          <w:color w:val="000000"/>
          <w:sz w:val="24"/>
          <w:szCs w:val="24"/>
          <w:highlight w:val="none"/>
        </w:rPr>
      </w:r>
      <w:r/>
    </w:p>
    <w:p>
      <w:pPr>
        <w:pStyle w:val="1003"/>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2、系统平稳过渡</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投标人应根据建设</w:t>
      </w:r>
      <w:r>
        <w:rPr>
          <w:rFonts w:hint="eastAsia" w:ascii="宋体" w:hAnsi="宋体" w:cs="宋体"/>
          <w:color w:val="000000"/>
          <w:sz w:val="24"/>
          <w:szCs w:val="24"/>
          <w:highlight w:val="none"/>
        </w:rPr>
        <w:t xml:space="preserve">要求，需熟悉现有平台具体功能、代码、架构等，确保系统代码信创构造顺利、稳定，承诺涉及到现有平台的代码合法改造、联调改造等费用已包含在投标报价中，用户方不再另行协调，同步确保平台代码升级改造过程中，无缝衔接、稳定运行。</w:t>
      </w:r>
      <w:r>
        <w:rPr>
          <w:rFonts w:hint="eastAsia" w:ascii="宋体" w:hAnsi="宋体" w:cs="宋体"/>
          <w:color w:val="000000"/>
          <w:sz w:val="24"/>
          <w:szCs w:val="24"/>
          <w:highlight w:val="none"/>
        </w:rPr>
      </w:r>
      <w:r/>
    </w:p>
    <w:p>
      <w:pPr>
        <w:pStyle w:val="1003"/>
        <w:numPr>
          <w:ilvl w:val="0"/>
          <w:numId w:val="6"/>
        </w:numPr>
        <w:spacing w:line="5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实施要求</w:t>
      </w:r>
      <w:r>
        <w:rPr>
          <w:rFonts w:hint="eastAsia" w:ascii="宋体" w:hAnsi="宋体" w:eastAsia="宋体" w:cs="宋体"/>
          <w:color w:val="000000"/>
          <w:sz w:val="28"/>
          <w:szCs w:val="28"/>
          <w:highlight w:val="none"/>
        </w:rPr>
      </w:r>
      <w:r/>
    </w:p>
    <w:p>
      <w:pPr>
        <w:pStyle w:val="891"/>
        <w:ind w:firstLine="480"/>
        <w:spacing w:line="5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应提供项目进度计划，确保项目按期完成。</w:t>
      </w:r>
      <w:r>
        <w:rPr>
          <w:rFonts w:hint="eastAsia" w:ascii="宋体" w:hAnsi="宋体" w:cs="宋体"/>
          <w:color w:val="000000"/>
          <w:sz w:val="24"/>
          <w:szCs w:val="24"/>
          <w:highlight w:val="none"/>
        </w:rPr>
      </w:r>
      <w:r/>
    </w:p>
    <w:p>
      <w:pPr>
        <w:pStyle w:val="89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人</w:t>
      </w:r>
      <w:r>
        <w:rPr>
          <w:rFonts w:hint="eastAsia" w:ascii="宋体" w:hAnsi="宋体" w:cs="宋体"/>
          <w:color w:val="000000"/>
          <w:sz w:val="24"/>
          <w:szCs w:val="24"/>
          <w:highlight w:val="none"/>
        </w:rPr>
        <w:t xml:space="preserve">应提供项目实施方案、项目质量保证方案及售后服务 机制、售后服务保障及措施、售后服务人员安排等。</w:t>
      </w:r>
      <w:r>
        <w:rPr>
          <w:rFonts w:hint="eastAsia" w:ascii="宋体" w:hAnsi="宋体" w:cs="宋体"/>
          <w:color w:val="000000"/>
          <w:sz w:val="24"/>
          <w:szCs w:val="24"/>
          <w:highlight w:val="none"/>
        </w:rPr>
      </w:r>
      <w:r/>
    </w:p>
    <w:p>
      <w:pPr>
        <w:pStyle w:val="89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人</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提供培训方案（包括但不限于培训目标、培训计划、培训师资力量、培训课程、培训质量保证措施等</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91"/>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r>
      <w:r/>
    </w:p>
    <w:p>
      <w:pPr>
        <w:pStyle w:val="891"/>
        <w:spacing w:line="480" w:lineRule="exact"/>
        <w:rPr>
          <w:rFonts w:ascii="Times New Roman" w:hAnsi="Times New Roman" w:eastAsia="方正仿宋_GBK" w:cs="Times New Roman"/>
          <w:b/>
          <w:color w:val="000000"/>
          <w:sz w:val="36"/>
          <w:szCs w:val="36"/>
          <w:lang w:eastAsia="zh-CN"/>
        </w:rPr>
      </w:pPr>
      <w:r>
        <w:rPr>
          <w:rFonts w:ascii="Times New Roman" w:hAnsi="Times New Roman" w:eastAsia="方正仿宋_GBK" w:cs="Times New Roman"/>
          <w:b/>
          <w:color w:val="000000"/>
          <w:sz w:val="36"/>
          <w:szCs w:val="36"/>
          <w:lang w:eastAsia="zh-CN"/>
        </w:rPr>
        <w:t xml:space="preserve">三、商务要求</w:t>
      </w:r>
      <w:r>
        <w:rPr>
          <w:rFonts w:ascii="Times New Roman" w:hAnsi="Times New Roman" w:eastAsia="方正仿宋_GBK" w:cs="Times New Roman"/>
          <w:b/>
          <w:color w:val="000000"/>
          <w:sz w:val="36"/>
          <w:szCs w:val="36"/>
          <w:lang w:eastAsia="zh-CN"/>
        </w:rPr>
      </w:r>
      <w:r/>
    </w:p>
    <w:p>
      <w:pPr>
        <w:pStyle w:val="891"/>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1.交货期：</w:t>
      </w:r>
      <w:r>
        <w:rPr>
          <w:rFonts w:hint="eastAsia" w:ascii="宋体" w:hAnsi="宋体" w:cs="宋体"/>
          <w:bCs/>
          <w:color w:val="000000"/>
          <w:sz w:val="24"/>
          <w:szCs w:val="24"/>
          <w:highlight w:val="none"/>
        </w:rPr>
        <w:t xml:space="preserve">自合同签订之日起，电子政务信创环境提供后，三个月内完成平台信创适配改造，三个月试运行后验收。</w:t>
      </w:r>
      <w:r>
        <w:rPr>
          <w:rFonts w:hint="eastAsia" w:ascii="宋体" w:hAnsi="宋体" w:cs="宋体"/>
          <w:bCs/>
          <w:color w:val="000000"/>
          <w:sz w:val="24"/>
          <w:szCs w:val="24"/>
          <w:highlight w:val="none"/>
        </w:rPr>
      </w:r>
      <w:r/>
    </w:p>
    <w:p>
      <w:pPr>
        <w:pStyle w:val="891"/>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2.质保期</w:t>
      </w:r>
      <w:r>
        <w:rPr>
          <w:rFonts w:hint="eastAsia" w:ascii="宋体" w:hAnsi="宋体" w:cs="宋体"/>
          <w:bCs/>
          <w:color w:val="000000"/>
          <w:sz w:val="24"/>
          <w:szCs w:val="24"/>
          <w:highlight w:val="none"/>
        </w:rPr>
        <w:t xml:space="preserve">：一年（自通过验收之日起开始计算）。</w:t>
      </w:r>
      <w:r>
        <w:rPr>
          <w:rFonts w:hint="eastAsia" w:ascii="宋体" w:hAnsi="宋体" w:cs="宋体"/>
          <w:bCs/>
          <w:color w:val="000000"/>
          <w:sz w:val="24"/>
          <w:szCs w:val="24"/>
          <w:highlight w:val="none"/>
        </w:rPr>
      </w:r>
      <w:r/>
    </w:p>
    <w:p>
      <w:pPr>
        <w:pStyle w:val="891"/>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3.交货方式：</w:t>
      </w:r>
      <w:r>
        <w:rPr>
          <w:rFonts w:hint="eastAsia" w:ascii="宋体" w:hAnsi="宋体" w:cs="宋体"/>
          <w:bCs/>
          <w:color w:val="000000"/>
          <w:sz w:val="24"/>
          <w:szCs w:val="24"/>
          <w:highlight w:val="none"/>
        </w:rPr>
        <w:t xml:space="preserve">软件货物现场部署完成，交货验货，并提交相关交付物。</w:t>
      </w:r>
      <w:r>
        <w:rPr>
          <w:rFonts w:hint="eastAsia" w:ascii="宋体" w:hAnsi="宋体" w:cs="宋体"/>
          <w:bCs/>
          <w:color w:val="000000"/>
          <w:sz w:val="24"/>
          <w:szCs w:val="24"/>
          <w:highlight w:val="none"/>
        </w:rPr>
      </w:r>
      <w:r/>
    </w:p>
    <w:p>
      <w:pPr>
        <w:pStyle w:val="891"/>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4.交货地点：</w:t>
      </w:r>
      <w:r>
        <w:rPr>
          <w:rFonts w:hint="eastAsia" w:ascii="宋体" w:hAnsi="宋体" w:cs="宋体"/>
          <w:bCs/>
          <w:color w:val="000000"/>
          <w:sz w:val="24"/>
          <w:szCs w:val="24"/>
          <w:highlight w:val="none"/>
        </w:rPr>
        <w:t xml:space="preserve">采购人指定地点。</w:t>
      </w:r>
      <w:r>
        <w:rPr>
          <w:rFonts w:hint="eastAsia" w:ascii="宋体" w:hAnsi="宋体" w:cs="宋体"/>
          <w:bCs/>
          <w:color w:val="000000"/>
          <w:sz w:val="24"/>
          <w:szCs w:val="24"/>
          <w:highlight w:val="none"/>
        </w:rPr>
      </w:r>
      <w:r/>
    </w:p>
    <w:p>
      <w:pPr>
        <w:pStyle w:val="89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5.货款支付：</w:t>
      </w:r>
      <w:r>
        <w:rPr>
          <w:rFonts w:hint="eastAsia" w:ascii="宋体" w:hAnsi="宋体" w:cs="宋体"/>
          <w:b/>
          <w:color w:val="000000"/>
          <w:sz w:val="24"/>
          <w:szCs w:val="24"/>
          <w:highlight w:val="none"/>
        </w:rPr>
      </w:r>
      <w:r/>
    </w:p>
    <w:p>
      <w:pPr>
        <w:pStyle w:val="89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合同签订后，预付合同价款的40%，项目通过最终采购人组织的专家验收后付清合同价款，不计利息。</w:t>
      </w:r>
      <w:r>
        <w:rPr>
          <w:rFonts w:hint="eastAsia" w:ascii="宋体" w:hAnsi="宋体" w:cs="宋体"/>
          <w:bCs/>
          <w:color w:val="000000"/>
          <w:sz w:val="24"/>
          <w:szCs w:val="24"/>
          <w:highlight w:val="none"/>
        </w:rPr>
      </w:r>
      <w:r/>
    </w:p>
    <w:p>
      <w:pPr>
        <w:pStyle w:val="89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款项由采购人按相关财务支付规定办理支付手续。不得故意拖延支付时间。</w:t>
      </w:r>
      <w:r>
        <w:rPr>
          <w:rFonts w:hint="eastAsia" w:ascii="宋体" w:hAnsi="宋体" w:cs="宋体"/>
          <w:bCs/>
          <w:color w:val="000000"/>
          <w:sz w:val="24"/>
          <w:szCs w:val="24"/>
          <w:highlight w:val="none"/>
        </w:rPr>
      </w:r>
      <w:r/>
    </w:p>
    <w:p>
      <w:pPr>
        <w:pStyle w:val="891"/>
        <w:ind w:firstLine="482"/>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6.项目验收：</w:t>
      </w:r>
      <w:r>
        <w:rPr>
          <w:rFonts w:hint="eastAsia" w:ascii="宋体" w:hAnsi="宋体" w:cs="宋体"/>
          <w:bCs/>
          <w:color w:val="000000"/>
          <w:sz w:val="24"/>
          <w:szCs w:val="24"/>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w:t>
      </w:r>
      <w:r>
        <w:rPr>
          <w:rFonts w:hint="eastAsia" w:ascii="宋体" w:hAnsi="宋体" w:cs="宋体"/>
          <w:color w:val="000000"/>
          <w:sz w:val="24"/>
          <w:szCs w:val="24"/>
          <w:highlight w:val="none"/>
        </w:rPr>
      </w:r>
      <w:r/>
    </w:p>
    <w:p>
      <w:pPr>
        <w:pStyle w:val="89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7.本项目所有分包均不接受进口产品投标。</w:t>
      </w:r>
      <w:r>
        <w:rPr>
          <w:rFonts w:hint="eastAsia" w:ascii="宋体" w:hAnsi="宋体" w:cs="宋体"/>
          <w:b/>
          <w:color w:val="000000"/>
          <w:sz w:val="24"/>
          <w:szCs w:val="24"/>
          <w:highlight w:val="none"/>
        </w:rPr>
      </w:r>
      <w:r/>
    </w:p>
    <w:p>
      <w:pPr>
        <w:pStyle w:val="891"/>
        <w:ind w:firstLine="482"/>
        <w:spacing w:line="360" w:lineRule="auto"/>
        <w:rPr>
          <w:rFonts w:eastAsia="方正仿宋_GBK"/>
          <w:color w:val="000000"/>
          <w:sz w:val="28"/>
          <w:szCs w:val="28"/>
          <w:highlight w:val="none"/>
        </w:rPr>
      </w:pPr>
      <w:r>
        <w:rPr>
          <w:rFonts w:hint="eastAsia" w:ascii="宋体" w:hAnsi="宋体" w:cs="宋体"/>
          <w:b/>
          <w:color w:val="000000"/>
          <w:sz w:val="24"/>
          <w:szCs w:val="24"/>
          <w:highlight w:val="none"/>
        </w:rPr>
        <w:t xml:space="preserve">8.履约保证金要求：</w:t>
      </w:r>
      <w:r>
        <w:rPr>
          <w:rFonts w:hint="eastAsia" w:ascii="宋体" w:hAnsi="宋体" w:cs="宋体"/>
          <w:bCs/>
          <w:color w:val="000000"/>
          <w:sz w:val="24"/>
          <w:szCs w:val="24"/>
          <w:highlight w:val="none"/>
        </w:rPr>
        <w:t xml:space="preserve">本项目不收取履约保证金。</w:t>
      </w:r>
      <w:r>
        <w:rPr>
          <w:rFonts w:eastAsia="方正仿宋_GBK"/>
          <w:color w:val="000000"/>
          <w:sz w:val="28"/>
          <w:szCs w:val="28"/>
          <w:highlight w:val="none"/>
        </w:rPr>
      </w:r>
      <w:r/>
    </w:p>
    <w:p>
      <w:pPr>
        <w:pStyle w:val="891"/>
        <w:spacing w:line="480" w:lineRule="exact"/>
        <w:rPr>
          <w:rFonts w:eastAsia="方正仿宋_GBK"/>
          <w:b/>
          <w:i/>
          <w:color w:val="000000"/>
          <w:sz w:val="28"/>
          <w:szCs w:val="28"/>
          <w:highlight w:val="none"/>
          <w:u w:val="single"/>
        </w:rPr>
      </w:pPr>
      <w:r/>
      <w:bookmarkStart w:id="200" w:name="_Toc120614281"/>
      <w:r>
        <w:rPr>
          <w:rFonts w:eastAsia="方正仿宋_GBK"/>
          <w:color w:val="000000"/>
          <w:sz w:val="28"/>
          <w:szCs w:val="28"/>
          <w:highlight w:val="none"/>
        </w:rPr>
        <w:t xml:space="preserve">四、</w:t>
      </w:r>
      <w:r>
        <w:rPr>
          <w:rFonts w:eastAsia="方正仿宋_GBK"/>
          <w:b/>
          <w:i/>
          <w:color w:val="000000"/>
          <w:sz w:val="28"/>
          <w:szCs w:val="28"/>
          <w:highlight w:val="none"/>
          <w:u w:val="single"/>
        </w:rPr>
        <w:t xml:space="preserve">采购需求中必须满足的实质性要求。</w:t>
      </w:r>
      <w:r>
        <w:rPr>
          <w:rFonts w:eastAsia="方正仿宋_GBK"/>
          <w:b/>
          <w:i/>
          <w:color w:val="000000"/>
          <w:sz w:val="28"/>
          <w:szCs w:val="28"/>
          <w:highlight w:val="none"/>
          <w:u w:val="single"/>
        </w:rPr>
      </w:r>
      <w:r/>
    </w:p>
    <w:p>
      <w:pPr>
        <w:pStyle w:val="891"/>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rPr>
        <w:t xml:space="preserve">（1）</w:t>
      </w:r>
      <w:r>
        <w:rPr>
          <w:rFonts w:eastAsia="方正仿宋_GBK"/>
          <w:b/>
          <w:bCs/>
          <w:i/>
          <w:color w:val="000000"/>
          <w:sz w:val="28"/>
          <w:szCs w:val="28"/>
          <w:highlight w:val="none"/>
          <w:u w:val="single"/>
        </w:rPr>
        <w:t xml:space="preserve">技术部分实质性要求</w:t>
      </w:r>
      <w:r>
        <w:rPr>
          <w:rFonts w:ascii="Times New Roman" w:hAnsi="Times New Roman" w:eastAsia="方正仿宋_GBK" w:cs="Times New Roman"/>
          <w:b/>
          <w:i/>
          <w:color w:val="000000"/>
          <w:sz w:val="28"/>
          <w:szCs w:val="28"/>
          <w:highlight w:val="none"/>
          <w:u w:val="single"/>
        </w:rPr>
      </w:r>
      <w:r/>
    </w:p>
    <w:p>
      <w:pPr>
        <w:pStyle w:val="891"/>
        <w:ind w:firstLine="420"/>
        <w:spacing w:line="0" w:lineRule="atLeast"/>
        <w:rPr>
          <w:rFonts w:hint="eastAsia" w:eastAsia="方正仿宋_GBK" w:cs="Times New Roman"/>
          <w:b w:val="0"/>
          <w:bCs/>
          <w:i/>
          <w:color w:val="000000"/>
          <w:sz w:val="28"/>
          <w:szCs w:val="28"/>
          <w:highlight w:val="none"/>
          <w:u w:val="single"/>
          <w:lang w:val="en-US" w:eastAsia="zh-CN"/>
        </w:rPr>
      </w:pPr>
      <w:r>
        <w:rPr>
          <w:rFonts w:hint="eastAsia" w:ascii="Times New Roman" w:hAnsi="Times New Roman" w:eastAsia="方正仿宋_GBK" w:cs="Times New Roman"/>
          <w:b w:val="0"/>
          <w:bCs/>
          <w:i/>
          <w:color w:val="000000"/>
          <w:sz w:val="28"/>
          <w:szCs w:val="28"/>
          <w:highlight w:val="none"/>
          <w:u w:val="single"/>
        </w:rPr>
        <w:t xml:space="preserve">本项目所涉及的系统整合、对接费用均由中标方承担，投标文件需提供相关对接费用承诺证明并加盖投标人公章，不提供将作为无效标处理。</w:t>
      </w:r>
      <w:r>
        <w:rPr>
          <w:rFonts w:hint="eastAsia" w:eastAsia="方正仿宋_GBK" w:cs="Times New Roman"/>
          <w:b w:val="0"/>
          <w:bCs/>
          <w:i/>
          <w:color w:val="000000"/>
          <w:sz w:val="28"/>
          <w:szCs w:val="28"/>
          <w:highlight w:val="none"/>
          <w:u w:val="single"/>
          <w:lang w:val="en-US" w:eastAsia="zh-CN"/>
        </w:rPr>
        <w:t xml:space="preserve">具体如下：</w:t>
      </w:r>
      <w:r>
        <w:rPr>
          <w:rFonts w:hint="eastAsia" w:eastAsia="方正仿宋_GBK" w:cs="Times New Roman"/>
          <w:b w:val="0"/>
          <w:bCs/>
          <w:i/>
          <w:color w:val="000000"/>
          <w:sz w:val="28"/>
          <w:szCs w:val="28"/>
          <w:highlight w:val="none"/>
          <w:u w:val="single"/>
          <w:lang w:val="en-US" w:eastAsia="zh-CN"/>
        </w:rPr>
      </w:r>
      <w:r/>
    </w:p>
    <w:p>
      <w:pPr>
        <w:pStyle w:val="891"/>
        <w:ind w:firstLine="420"/>
        <w:spacing w:line="0" w:lineRule="atLeast"/>
        <w:rPr>
          <w:rFonts w:hint="eastAsia" w:ascii="Times New Roman" w:hAnsi="Times New Roman" w:eastAsia="方正仿宋_GBK" w:cs="Times New Roman"/>
          <w:b w:val="0"/>
          <w:bCs/>
          <w:i/>
          <w:color w:val="000000"/>
          <w:sz w:val="28"/>
          <w:szCs w:val="28"/>
          <w:highlight w:val="none"/>
          <w:u w:val="single"/>
        </w:rPr>
      </w:pPr>
      <w:r>
        <w:rPr>
          <w:rFonts w:hint="eastAsia" w:ascii="Times New Roman" w:hAnsi="Times New Roman" w:eastAsia="方正仿宋_GBK" w:cs="Times New Roman"/>
          <w:b w:val="0"/>
          <w:bCs/>
          <w:i/>
          <w:color w:val="000000"/>
          <w:sz w:val="28"/>
          <w:szCs w:val="28"/>
          <w:highlight w:val="none"/>
          <w:u w:val="single"/>
          <w:lang w:val="en-US" w:eastAsia="zh-CN"/>
        </w:rPr>
        <w:t xml:space="preserve">①我公司将</w:t>
      </w:r>
      <w:r>
        <w:rPr>
          <w:rFonts w:hint="eastAsia" w:ascii="Times New Roman" w:hAnsi="Times New Roman" w:eastAsia="方正仿宋_GBK" w:cs="Times New Roman"/>
          <w:b w:val="0"/>
          <w:bCs/>
          <w:i/>
          <w:color w:val="000000"/>
          <w:sz w:val="28"/>
          <w:szCs w:val="28"/>
          <w:highlight w:val="none"/>
          <w:u w:val="single"/>
        </w:rPr>
        <w:t xml:space="preserve">根据建设要求，熟悉现有平台具体功能、代码、架构等，确保系统代码信创构造顺利、稳定，承诺涉及到现有平台的代码合法改造、联调改造等费用已包含在投标报价中，用户方不再另行协调，同步确保平台代码升级改造过程中，无缝衔接、稳定运行。</w:t>
      </w:r>
      <w:r>
        <w:rPr>
          <w:rFonts w:hint="eastAsia" w:ascii="Times New Roman" w:hAnsi="Times New Roman" w:eastAsia="方正仿宋_GBK" w:cs="Times New Roman"/>
          <w:b w:val="0"/>
          <w:bCs/>
          <w:i/>
          <w:color w:val="000000"/>
          <w:sz w:val="28"/>
          <w:szCs w:val="28"/>
          <w:highlight w:val="none"/>
          <w:u w:val="single"/>
        </w:rPr>
      </w:r>
      <w:r/>
    </w:p>
    <w:p>
      <w:pPr>
        <w:pStyle w:val="891"/>
        <w:ind w:firstLine="420"/>
        <w:spacing w:line="0" w:lineRule="atLeast"/>
        <w:rPr>
          <w:rFonts w:ascii="Times New Roman" w:hAnsi="Times New Roman" w:eastAsia="方正仿宋_GBK" w:cs="Times New Roman"/>
          <w:b w:val="0"/>
          <w:bCs/>
          <w:i/>
          <w:color w:val="000000"/>
          <w:sz w:val="28"/>
          <w:szCs w:val="28"/>
          <w:highlight w:val="none"/>
          <w:u w:val="single"/>
          <w:lang w:val="en-US" w:eastAsia="zh-CN"/>
        </w:rPr>
      </w:pPr>
      <w:r>
        <w:rPr>
          <w:rFonts w:hint="eastAsia" w:ascii="Times New Roman" w:hAnsi="Times New Roman" w:eastAsia="方正仿宋_GBK" w:cs="Times New Roman"/>
          <w:b w:val="0"/>
          <w:bCs/>
          <w:i/>
          <w:color w:val="000000"/>
          <w:sz w:val="28"/>
          <w:szCs w:val="28"/>
          <w:highlight w:val="none"/>
          <w:u w:val="single"/>
          <w:lang w:val="en-US" w:eastAsia="zh-CN"/>
        </w:rPr>
        <w:t xml:space="preserve">②</w:t>
      </w:r>
      <w:r>
        <w:rPr>
          <w:rFonts w:hint="eastAsia" w:ascii="Times New Roman" w:hAnsi="Times New Roman" w:eastAsia="方正仿宋_GBK" w:cs="Times New Roman"/>
          <w:b w:val="0"/>
          <w:bCs/>
          <w:i/>
          <w:color w:val="000000"/>
          <w:sz w:val="28"/>
          <w:szCs w:val="28"/>
          <w:highlight w:val="none"/>
          <w:u w:val="single"/>
        </w:rPr>
        <w:t xml:space="preserve">确保</w:t>
      </w:r>
      <w:r>
        <w:rPr>
          <w:rFonts w:hint="eastAsia" w:ascii="Times New Roman" w:hAnsi="Times New Roman" w:eastAsia="方正仿宋_GBK" w:cs="Times New Roman"/>
          <w:b w:val="0"/>
          <w:bCs/>
          <w:i/>
          <w:color w:val="000000"/>
          <w:sz w:val="28"/>
          <w:szCs w:val="28"/>
          <w:highlight w:val="none"/>
          <w:u w:val="single"/>
          <w:lang w:val="en-US" w:eastAsia="zh-CN"/>
        </w:rPr>
        <w:t xml:space="preserve">现有南通质量基础设施“一站式”服务平台的数据（尤其是标准数据包）的国产数据库数据迁移平滑、准确。</w:t>
      </w:r>
      <w:r>
        <w:rPr>
          <w:rFonts w:ascii="Times New Roman" w:hAnsi="Times New Roman" w:eastAsia="方正仿宋_GBK" w:cs="Times New Roman"/>
          <w:b w:val="0"/>
          <w:bCs/>
          <w:i/>
          <w:color w:val="000000"/>
          <w:sz w:val="28"/>
          <w:szCs w:val="28"/>
          <w:highlight w:val="none"/>
          <w:u w:val="single"/>
          <w:lang w:val="en-US" w:eastAsia="zh-CN"/>
        </w:rPr>
      </w:r>
      <w:r/>
    </w:p>
    <w:p>
      <w:pPr>
        <w:pStyle w:val="891"/>
        <w:ind w:firstLine="420"/>
        <w:spacing w:line="0" w:lineRule="atLeast"/>
        <w:rPr>
          <w:rFonts w:hint="eastAsia"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rPr>
        <w:t xml:space="preserve">（2）</w:t>
      </w:r>
      <w:r>
        <w:rPr>
          <w:rFonts w:eastAsia="方正仿宋_GBK"/>
          <w:b/>
          <w:bCs/>
          <w:i/>
          <w:color w:val="000000"/>
          <w:sz w:val="28"/>
          <w:szCs w:val="28"/>
          <w:highlight w:val="none"/>
          <w:u w:val="single"/>
        </w:rPr>
        <w:t xml:space="preserve">商务部分实质性要求</w:t>
      </w:r>
      <w:r>
        <w:rPr>
          <w:rFonts w:hint="eastAsia" w:ascii="Times New Roman" w:hAnsi="Times New Roman" w:eastAsia="方正仿宋_GBK" w:cs="Times New Roman"/>
          <w:b/>
          <w:i/>
          <w:color w:val="000000"/>
          <w:sz w:val="28"/>
          <w:szCs w:val="28"/>
          <w:highlight w:val="none"/>
          <w:u w:val="single"/>
        </w:rPr>
      </w:r>
      <w:r/>
    </w:p>
    <w:p>
      <w:pPr>
        <w:pStyle w:val="891"/>
        <w:ind w:firstLine="420"/>
        <w:spacing w:line="0" w:lineRule="atLeast"/>
        <w:rPr>
          <w:rFonts w:hint="eastAsia" w:ascii="Times New Roman" w:hAnsi="Times New Roman" w:eastAsia="方正仿宋_GBK" w:cs="Times New Roman"/>
          <w:b w:val="0"/>
          <w:bCs/>
          <w:i/>
          <w:color w:val="000000"/>
          <w:sz w:val="28"/>
          <w:szCs w:val="28"/>
          <w:highlight w:val="none"/>
          <w:u w:val="single"/>
        </w:rPr>
      </w:pPr>
      <w:r>
        <w:rPr>
          <w:rFonts w:hint="eastAsia" w:ascii="Times New Roman" w:hAnsi="Times New Roman" w:eastAsia="方正仿宋_GBK" w:cs="Times New Roman"/>
          <w:b w:val="0"/>
          <w:bCs/>
          <w:i/>
          <w:color w:val="000000"/>
          <w:sz w:val="28"/>
          <w:szCs w:val="28"/>
          <w:highlight w:val="none"/>
          <w:u w:val="single"/>
        </w:rPr>
        <w:t xml:space="preserve">投标人须作出一年免费维护期的服务承诺，不提供将作为无效标处理。</w:t>
      </w:r>
      <w:r>
        <w:rPr>
          <w:rFonts w:hint="eastAsia" w:ascii="Times New Roman" w:hAnsi="Times New Roman" w:eastAsia="方正仿宋_GBK" w:cs="Times New Roman"/>
          <w:b w:val="0"/>
          <w:bCs/>
          <w:i/>
          <w:color w:val="000000"/>
          <w:sz w:val="28"/>
          <w:szCs w:val="28"/>
          <w:highlight w:val="none"/>
          <w:u w:val="single"/>
        </w:rPr>
      </w:r>
      <w:r/>
    </w:p>
    <w:p>
      <w:pPr>
        <w:pStyle w:val="892"/>
        <w:jc w:val="center"/>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1"/>
        <w:rPr>
          <w:rFonts w:hint="eastAsia"/>
        </w:rPr>
      </w:pPr>
      <w:r>
        <w:rPr>
          <w:rFonts w:hint="eastAsia"/>
        </w:rPr>
      </w:r>
      <w:r/>
    </w:p>
    <w:p>
      <w:pPr>
        <w:pStyle w:val="977"/>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p>
      <w:pPr>
        <w:pStyle w:val="97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77"/>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20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1"/>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1"/>
        <w:ind w:firstLine="560"/>
        <w:spacing w:line="500" w:lineRule="exact"/>
        <w:rPr>
          <w:rFonts w:ascii="Times New Roman" w:hAnsi="Times New Roman" w:eastAsia="方正仿宋_GBK" w:cs="Times New Roman"/>
          <w:b/>
          <w:highlight w:val="none"/>
          <w:lang w:val="en-US" w:eastAsia="zh-CN"/>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b/>
          <w:highlight w:val="none"/>
          <w:lang w:val="en-US" w:eastAsia="zh-CN"/>
        </w:rPr>
      </w:r>
      <w:r/>
    </w:p>
    <w:p>
      <w:pPr>
        <w:pStyle w:val="977"/>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序号</w:t>
            </w:r>
            <w:r>
              <w:rPr>
                <w:rFonts w:ascii="Times New Roman" w:hAnsi="Times New Roman" w:eastAsia="方正仿宋_GBK"/>
                <w:b/>
                <w:color w:val="000000"/>
                <w:highlight w:val="none"/>
              </w:rPr>
            </w:r>
            <w:r/>
          </w:p>
        </w:tc>
        <w:tc>
          <w:tcPr>
            <w:tcW w:w="1425" w:type="dxa"/>
            <w:vAlign w:val="top"/>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评分点名称</w:t>
            </w:r>
            <w:r>
              <w:rPr>
                <w:rFonts w:ascii="Times New Roman" w:hAnsi="Times New Roman" w:eastAsia="方正仿宋_GBK"/>
                <w:b/>
                <w:color w:val="000000"/>
                <w:highlight w:val="none"/>
              </w:rPr>
            </w:r>
            <w:r/>
          </w:p>
        </w:tc>
        <w:tc>
          <w:tcPr>
            <w:tcW w:w="3525" w:type="dxa"/>
            <w:vAlign w:val="top"/>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评审标准</w:t>
            </w:r>
            <w:r>
              <w:rPr>
                <w:rFonts w:ascii="Times New Roman" w:hAnsi="Times New Roman" w:eastAsia="方正仿宋_GBK"/>
                <w:b/>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最高分</w:t>
            </w:r>
            <w:r>
              <w:rPr>
                <w:rFonts w:ascii="Times New Roman" w:hAnsi="Times New Roman" w:eastAsia="方正仿宋_GBK"/>
                <w:b/>
                <w:color w:val="000000"/>
                <w:highlight w:val="none"/>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最低分</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主/客观分</w:t>
            </w:r>
            <w:r>
              <w:rPr>
                <w:rFonts w:ascii="Times New Roman" w:hAnsi="Times New Roman" w:eastAsia="方正仿宋_GBK"/>
                <w:b/>
                <w:color w:val="000000"/>
                <w:highlight w:val="none"/>
              </w:rPr>
            </w:r>
            <w:r/>
          </w:p>
        </w:tc>
      </w:tr>
      <w:tr>
        <w:trPr/>
        <w:tc>
          <w:tcPr>
            <w:tcW w:w="766" w:type="dxa"/>
            <w:vAlign w:val="center"/>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1</w:t>
            </w:r>
            <w:r>
              <w:rPr>
                <w:rFonts w:ascii="Times New Roman" w:hAnsi="Times New Roman" w:eastAsia="方正仿宋_GBK"/>
                <w:b/>
                <w:color w:val="000000"/>
                <w:highlight w:val="none"/>
              </w:rPr>
            </w:r>
            <w:r/>
          </w:p>
        </w:tc>
        <w:tc>
          <w:tcPr>
            <w:tcW w:w="1425" w:type="dxa"/>
            <w:vAlign w:val="center"/>
            <w:textDirection w:val="lrTb"/>
            <w:noWrap w:val="false"/>
          </w:tcPr>
          <w:p>
            <w:pPr>
              <w:pStyle w:val="1004"/>
              <w:ind w:firstLine="0"/>
              <w:jc w:val="center"/>
              <w:rPr>
                <w:rFonts w:ascii="宋体" w:hAnsi="宋体"/>
                <w:color w:val="000000"/>
                <w:highlight w:val="none"/>
              </w:rPr>
            </w:pPr>
            <w:r>
              <w:rPr>
                <w:rFonts w:hint="eastAsia" w:ascii="宋体" w:hAnsi="宋体"/>
                <w:color w:val="000000"/>
                <w:highlight w:val="none"/>
              </w:rPr>
              <w:t xml:space="preserve">项目建设方案</w:t>
            </w:r>
            <w:r>
              <w:rPr>
                <w:rFonts w:ascii="宋体" w:hAnsi="宋体"/>
                <w:color w:val="000000"/>
                <w:highlight w:val="none"/>
              </w:rPr>
            </w:r>
            <w:r/>
          </w:p>
        </w:tc>
        <w:tc>
          <w:tcPr>
            <w:tcW w:w="3525" w:type="dxa"/>
            <w:vAlign w:val="center"/>
            <w:textDirection w:val="lrTb"/>
            <w:noWrap w:val="false"/>
          </w:tcPr>
          <w:p>
            <w:pPr>
              <w:pStyle w:val="1004"/>
              <w:ind w:firstLine="0"/>
              <w:rPr>
                <w:rFonts w:hint="eastAsia"/>
                <w:color w:val="000000"/>
                <w:highlight w:val="none"/>
              </w:rPr>
            </w:pPr>
            <w:r>
              <w:rPr>
                <w:rFonts w:hint="eastAsia"/>
                <w:color w:val="000000"/>
                <w:highlight w:val="none"/>
              </w:rPr>
              <w:t xml:space="preserve">投标人应根据项目</w:t>
            </w:r>
            <w:r>
              <w:rPr>
                <w:rFonts w:hint="eastAsia"/>
                <w:color w:val="000000"/>
                <w:highlight w:val="none"/>
                <w:lang w:val="en-US" w:eastAsia="zh-CN"/>
              </w:rPr>
              <w:t xml:space="preserve">20个板块的</w:t>
            </w:r>
            <w:r>
              <w:rPr>
                <w:rFonts w:hint="eastAsia"/>
                <w:color w:val="000000"/>
                <w:highlight w:val="none"/>
              </w:rPr>
              <w:t xml:space="preserve">建设内容制定具体的适配改造、功能新建整合</w:t>
            </w:r>
            <w:r>
              <w:rPr>
                <w:rFonts w:hint="eastAsia" w:ascii="宋体" w:hAnsi="宋体"/>
                <w:color w:val="000000"/>
                <w:highlight w:val="none"/>
              </w:rPr>
              <w:t xml:space="preserve">方案</w:t>
            </w:r>
            <w:r>
              <w:rPr>
                <w:rFonts w:hint="eastAsia"/>
                <w:color w:val="000000"/>
                <w:highlight w:val="none"/>
              </w:rPr>
              <w:t xml:space="preserve">。</w:t>
            </w:r>
            <w:r>
              <w:rPr>
                <w:rFonts w:hint="eastAsia"/>
                <w:color w:val="000000"/>
                <w:highlight w:val="none"/>
              </w:rPr>
            </w:r>
            <w:r/>
          </w:p>
          <w:p>
            <w:pPr>
              <w:pStyle w:val="1004"/>
              <w:ind w:firstLine="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（1）每有一项理解内容全面详细、贴合实际、</w:t>
            </w:r>
            <w:r>
              <w:rPr>
                <w:rFonts w:hint="eastAsia"/>
                <w:color w:val="000000"/>
                <w:highlight w:val="none"/>
              </w:rPr>
              <w:t xml:space="preserve">适配</w:t>
            </w:r>
            <w:r>
              <w:rPr>
                <w:rFonts w:hint="eastAsia" w:ascii="Times New Roman" w:hAnsi="Times New Roman" w:eastAsia="宋体" w:cs="Times New Roman"/>
                <w:color w:val="000000"/>
                <w:highlight w:val="none"/>
              </w:rPr>
              <w:t xml:space="preserve">方案可操作性强得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1004"/>
              <w:ind w:firstLine="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（2）每有一项内容但内容不合理、虽有内容但不完善、不切合实际、内容标书前后不一致、套用其他项目内容或与项目实际情况不匹配及其他不利于项目实施的等任意一种情形得</w:t>
            </w:r>
            <w:r>
              <w:rPr>
                <w:rFonts w:hint="eastAsia" w:ascii="Times New Roman" w:hAnsi="Times New Roman"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1004"/>
              <w:ind w:firstLine="0"/>
              <w:rPr>
                <w:rFonts w:hint="eastAsia"/>
                <w:color w:val="000000"/>
                <w:highlight w:val="none"/>
              </w:rPr>
            </w:pPr>
            <w:r>
              <w:rPr>
                <w:rFonts w:hint="eastAsia" w:ascii="Times New Roman" w:hAnsi="Times New Roman" w:eastAsia="宋体" w:cs="Times New Roman"/>
                <w:color w:val="000000"/>
                <w:highlight w:val="none"/>
              </w:rPr>
              <w:t xml:space="preserve">（3）每有一项不提供或内容完全不合理不得分。</w:t>
            </w:r>
            <w:r>
              <w:rPr>
                <w:rFonts w:hint="eastAsia"/>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20</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主观分</w:t>
            </w:r>
            <w:r>
              <w:rPr>
                <w:rFonts w:hint="eastAsia" w:ascii="Times New Roman" w:hAnsi="Times New Roman" w:eastAsia="方正仿宋_GBK"/>
                <w:b/>
                <w:color w:val="000000"/>
                <w:highlight w:val="none"/>
                <w:lang w:val="en-US" w:eastAsia="zh-CN"/>
              </w:rPr>
            </w:r>
            <w:r/>
          </w:p>
        </w:tc>
      </w:tr>
      <w:tr>
        <w:trPr/>
        <w:tc>
          <w:tcPr>
            <w:tcW w:w="766" w:type="dxa"/>
            <w:vAlign w:val="center"/>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2</w:t>
            </w:r>
            <w:r>
              <w:rPr>
                <w:rFonts w:ascii="Times New Roman" w:hAnsi="Times New Roman" w:eastAsia="方正仿宋_GBK"/>
                <w:b/>
                <w:color w:val="000000"/>
                <w:highlight w:val="none"/>
              </w:rPr>
            </w:r>
            <w:r/>
          </w:p>
        </w:tc>
        <w:tc>
          <w:tcPr>
            <w:tcW w:w="1425" w:type="dxa"/>
            <w:vAlign w:val="center"/>
            <w:textDirection w:val="lrTb"/>
            <w:noWrap w:val="false"/>
          </w:tcPr>
          <w:p>
            <w:pPr>
              <w:pStyle w:val="1004"/>
              <w:ind w:firstLine="0"/>
              <w:jc w:val="center"/>
              <w:rPr>
                <w:rFonts w:eastAsia="方正仿宋_GBK"/>
                <w:b/>
                <w:color w:val="000000"/>
                <w:highlight w:val="none"/>
              </w:rPr>
            </w:pPr>
            <w:r>
              <w:rPr>
                <w:rFonts w:hint="eastAsia" w:ascii="宋体" w:hAnsi="宋体"/>
                <w:color w:val="000000"/>
                <w:highlight w:val="none"/>
              </w:rPr>
            </w:r>
            <w:r>
              <w:rPr>
                <w:rFonts w:hint="eastAsia" w:ascii="宋体" w:hAnsi="宋体"/>
                <w:color w:val="000000"/>
                <w:highlight w:val="none"/>
              </w:rPr>
              <w:t xml:space="preserve">平滑切换方案</w:t>
            </w:r>
            <w:r>
              <w:rPr>
                <w:rFonts w:eastAsia="方正仿宋_GBK"/>
                <w:b/>
                <w:color w:val="000000"/>
                <w:highlight w:val="none"/>
              </w:rPr>
            </w:r>
            <w:r/>
          </w:p>
        </w:tc>
        <w:tc>
          <w:tcPr>
            <w:tcW w:w="3525" w:type="dxa"/>
            <w:vAlign w:val="top"/>
            <w:textDirection w:val="lrTb"/>
            <w:noWrap w:val="false"/>
          </w:tcPr>
          <w:p>
            <w:pPr>
              <w:pStyle w:val="1004"/>
              <w:ind w:firstLine="0"/>
            </w:pPr>
            <w:r>
              <w:rPr>
                <w:rFonts w:hint="eastAsia"/>
                <w:color w:val="000000"/>
                <w:highlight w:val="none"/>
              </w:rPr>
              <w:t xml:space="preserve">投标人应确保系统适配改造时平台整体稳定运行，提供平滑切换方案。</w:t>
            </w:r>
            <w:r/>
          </w:p>
          <w:p>
            <w:pPr>
              <w:pStyle w:val="1004"/>
              <w:ind w:firstLine="0"/>
            </w:pPr>
            <w:r>
              <w:rPr>
                <w:rFonts w:hint="eastAsia"/>
                <w:color w:val="000000"/>
                <w:highlight w:val="none"/>
              </w:rPr>
              <w:t xml:space="preserve">（1）方案包括详细的切换步骤、稳定升级策略及合法改造适配证明材料的得10分；</w:t>
            </w:r>
            <w:r/>
          </w:p>
          <w:p>
            <w:pPr>
              <w:pStyle w:val="1004"/>
              <w:ind w:firstLine="0"/>
            </w:pPr>
            <w:r>
              <w:rPr>
                <w:rFonts w:hint="eastAsia"/>
                <w:color w:val="000000"/>
                <w:highlight w:val="none"/>
              </w:rPr>
              <w:t xml:space="preserve">（2）方案切换步骤、稳定升级策略，但方案不够具体有效的得6分；</w:t>
            </w:r>
            <w:r/>
          </w:p>
          <w:p>
            <w:pPr>
              <w:pStyle w:val="1004"/>
              <w:ind w:firstLine="0"/>
            </w:pPr>
            <w:r>
              <w:rPr>
                <w:rFonts w:hint="eastAsia"/>
                <w:color w:val="000000"/>
                <w:highlight w:val="none"/>
              </w:rPr>
              <w:t xml:space="preserve">（3）方案空洞、缺乏可操作性的得2分。</w:t>
            </w:r>
            <w:r/>
          </w:p>
          <w:p>
            <w:pPr>
              <w:pStyle w:val="1004"/>
              <w:numPr>
                <w:ilvl w:val="0"/>
                <w:numId w:val="8"/>
              </w:numPr>
              <w:ind w:firstLine="0"/>
              <w:rPr>
                <w:rFonts w:hint="eastAsia"/>
                <w:color w:val="000000"/>
                <w:highlight w:val="none"/>
              </w:rPr>
            </w:pPr>
            <w:r>
              <w:rPr>
                <w:rFonts w:hint="eastAsia"/>
                <w:color w:val="000000"/>
                <w:highlight w:val="none"/>
              </w:rPr>
              <w:t xml:space="preserve">（4）不提供的不得分。</w:t>
            </w:r>
            <w:r>
              <w:rPr>
                <w:rFonts w:hint="eastAsia"/>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10</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lang w:val="en-US" w:eastAsia="zh-CN"/>
              </w:rPr>
              <w:t xml:space="preserve">主观分</w:t>
            </w:r>
            <w:r>
              <w:rPr>
                <w:rFonts w:ascii="Times New Roman" w:hAnsi="Times New Roman" w:eastAsia="方正仿宋_GBK"/>
                <w:b/>
                <w:color w:val="000000"/>
                <w:highlight w:val="none"/>
              </w:rPr>
            </w:r>
            <w:r/>
          </w:p>
        </w:tc>
      </w:tr>
      <w:tr>
        <w:trPr>
          <w:trHeight w:val="1156"/>
        </w:trPr>
        <w:tc>
          <w:tcPr>
            <w:tcW w:w="766" w:type="dxa"/>
            <w:vAlign w:val="center"/>
            <w:vMerge w:val="restart"/>
            <w:textDirection w:val="lrTb"/>
            <w:noWrap w:val="false"/>
          </w:tcPr>
          <w:p>
            <w:pPr>
              <w:pStyle w:val="977"/>
              <w:ind w:firstLine="0"/>
              <w:jc w:val="center"/>
              <w:spacing w:line="0" w:lineRule="atLeast"/>
              <w:rPr>
                <w:rFonts w:hint="eastAsia" w:ascii="Times New Roman" w:hAnsi="Times New Roman" w:eastAsia="方正仿宋_GBK"/>
                <w:b/>
                <w:color w:val="000000"/>
                <w:highlight w:val="none"/>
                <w:lang w:eastAsia="zh-CN"/>
              </w:rPr>
            </w:pPr>
            <w:r>
              <w:rPr>
                <w:rFonts w:hint="eastAsia" w:ascii="Times New Roman" w:hAnsi="Times New Roman" w:eastAsia="方正仿宋_GBK"/>
                <w:b/>
                <w:color w:val="000000"/>
                <w:highlight w:val="none"/>
                <w:lang w:val="en-US" w:eastAsia="zh-CN"/>
              </w:rPr>
              <w:t xml:space="preserve">3</w:t>
            </w:r>
            <w:r>
              <w:rPr>
                <w:rFonts w:hint="eastAsia" w:ascii="Times New Roman" w:hAnsi="Times New Roman" w:eastAsia="方正仿宋_GBK"/>
                <w:b/>
                <w:color w:val="000000"/>
                <w:highlight w:val="none"/>
                <w:lang w:eastAsia="zh-CN"/>
              </w:rPr>
            </w:r>
            <w:r/>
          </w:p>
        </w:tc>
        <w:tc>
          <w:tcPr>
            <w:tcW w:w="1425" w:type="dxa"/>
            <w:vAlign w:val="center"/>
            <w:vMerge w:val="restart"/>
            <w:textDirection w:val="lrTb"/>
            <w:noWrap w:val="false"/>
          </w:tcPr>
          <w:p>
            <w:pPr>
              <w:pStyle w:val="1004"/>
              <w:ind w:firstLine="0"/>
              <w:jc w:val="center"/>
              <w:rPr>
                <w:rFonts w:ascii="宋体" w:hAnsi="宋体"/>
                <w:color w:val="000000"/>
                <w:highlight w:val="none"/>
              </w:rPr>
            </w:pPr>
            <w:r>
              <w:rPr>
                <w:rFonts w:hint="eastAsia" w:ascii="宋体" w:hAnsi="宋体" w:cs="宋体"/>
                <w:color w:val="000000"/>
                <w:sz w:val="22"/>
                <w:highlight w:val="none"/>
              </w:rPr>
              <w:t xml:space="preserve">项目实施及售后服务评价</w:t>
            </w:r>
            <w:r>
              <w:rPr>
                <w:rFonts w:ascii="宋体" w:hAnsi="宋体"/>
                <w:color w:val="000000"/>
                <w:highlight w:val="none"/>
              </w:rPr>
            </w:r>
            <w:r/>
          </w:p>
        </w:tc>
        <w:tc>
          <w:tcPr>
            <w:tcW w:w="3525" w:type="dxa"/>
            <w:vAlign w:val="center"/>
            <w:textDirection w:val="lrTb"/>
            <w:noWrap w:val="false"/>
          </w:tcPr>
          <w:p>
            <w:pPr>
              <w:pStyle w:val="1004"/>
              <w:ind w:firstLine="0"/>
              <w:rPr>
                <w:color w:val="000000"/>
                <w:highlight w:val="none"/>
                <w:lang w:val="en-US" w:eastAsia="zh-CN"/>
              </w:rPr>
            </w:pPr>
            <w:r>
              <w:rPr>
                <w:rFonts w:hint="eastAsia"/>
                <w:color w:val="000000"/>
                <w:highlight w:val="none"/>
              </w:rPr>
              <w:t xml:space="preserve">根据供应商</w:t>
            </w:r>
            <w:r>
              <w:rPr>
                <w:rFonts w:hint="eastAsia"/>
                <w:color w:val="000000"/>
                <w:highlight w:val="none"/>
                <w:lang w:val="en-US" w:eastAsia="zh-CN"/>
              </w:rPr>
              <w:t xml:space="preserve">提供的</w:t>
            </w:r>
            <w:r>
              <w:rPr>
                <w:rFonts w:hint="eastAsia"/>
                <w:color w:val="000000"/>
                <w:highlight w:val="none"/>
              </w:rPr>
              <w:t xml:space="preserve">实施及售后服务</w:t>
            </w:r>
            <w:r>
              <w:rPr>
                <w:rFonts w:hint="eastAsia"/>
                <w:color w:val="000000"/>
                <w:highlight w:val="none"/>
                <w:lang w:val="en-US" w:eastAsia="zh-CN"/>
              </w:rPr>
              <w:t xml:space="preserve">方案进行综合评分。</w:t>
            </w:r>
            <w:r>
              <w:rPr>
                <w:color w:val="000000"/>
                <w:highlight w:val="none"/>
                <w:lang w:val="en-US" w:eastAsia="zh-CN"/>
              </w:rPr>
            </w:r>
            <w:r/>
          </w:p>
          <w:p>
            <w:pPr>
              <w:pStyle w:val="1004"/>
              <w:numPr>
                <w:ilvl w:val="0"/>
                <w:numId w:val="9"/>
              </w:numPr>
              <w:ind w:firstLine="0"/>
              <w:rPr>
                <w:rFonts w:hint="eastAsia"/>
                <w:color w:val="000000"/>
                <w:highlight w:val="none"/>
                <w:lang w:val="en-US" w:eastAsia="zh-CN"/>
              </w:rPr>
            </w:pPr>
            <w:r>
              <w:rPr>
                <w:rFonts w:hint="eastAsia"/>
                <w:color w:val="000000"/>
                <w:highlight w:val="none"/>
                <w:lang w:val="en-US" w:eastAsia="zh-CN"/>
              </w:rPr>
              <w:t xml:space="preserve">方案包括</w:t>
            </w:r>
            <w:r>
              <w:rPr>
                <w:rFonts w:hint="eastAsia"/>
                <w:color w:val="000000"/>
                <w:highlight w:val="none"/>
              </w:rPr>
              <w:t xml:space="preserve">实施</w:t>
            </w:r>
            <w:r>
              <w:rPr>
                <w:rFonts w:hint="eastAsia"/>
                <w:color w:val="000000"/>
                <w:highlight w:val="none"/>
                <w:lang w:val="en-US" w:eastAsia="zh-CN"/>
              </w:rPr>
              <w:t xml:space="preserve">计划详细、实施过程合理、关键节点清晰、应对措施具体有效的得5分；</w:t>
            </w:r>
            <w:r>
              <w:rPr>
                <w:rFonts w:hint="eastAsia"/>
                <w:color w:val="000000"/>
                <w:highlight w:val="none"/>
                <w:lang w:val="en-US" w:eastAsia="zh-CN"/>
              </w:rPr>
            </w:r>
            <w:r/>
          </w:p>
          <w:p>
            <w:pPr>
              <w:pStyle w:val="1004"/>
              <w:numPr>
                <w:ilvl w:val="0"/>
                <w:numId w:val="9"/>
              </w:numPr>
              <w:ind w:firstLine="0"/>
              <w:rPr>
                <w:rFonts w:hint="eastAsia"/>
                <w:color w:val="000000"/>
                <w:highlight w:val="none"/>
              </w:rPr>
            </w:pPr>
            <w:r>
              <w:rPr>
                <w:rFonts w:hint="eastAsia"/>
                <w:color w:val="000000"/>
                <w:highlight w:val="none"/>
                <w:lang w:val="en-US" w:eastAsia="zh-CN"/>
              </w:rPr>
              <w:t xml:space="preserve">方案有计划、实施过程等但不够详细，应对措施不够具体有效的得2分；</w:t>
            </w:r>
            <w:r>
              <w:rPr>
                <w:rFonts w:hint="eastAsia"/>
                <w:color w:val="000000"/>
                <w:highlight w:val="none"/>
              </w:rPr>
            </w:r>
            <w:r/>
          </w:p>
          <w:p>
            <w:pPr>
              <w:pStyle w:val="1004"/>
              <w:numPr>
                <w:ilvl w:val="0"/>
                <w:numId w:val="9"/>
              </w:numPr>
              <w:ind w:firstLine="0"/>
              <w:rPr>
                <w:rFonts w:hint="eastAsia"/>
                <w:color w:val="000000"/>
                <w:highlight w:val="none"/>
              </w:rPr>
            </w:pPr>
            <w:r>
              <w:rPr>
                <w:rFonts w:hint="eastAsia"/>
                <w:color w:val="000000"/>
                <w:highlight w:val="none"/>
                <w:lang w:val="en-US" w:eastAsia="zh-CN"/>
              </w:rPr>
              <w:t xml:space="preserve">方案内容空洞，缺乏可操作性，得1分。</w:t>
            </w:r>
            <w:r>
              <w:rPr>
                <w:rFonts w:hint="eastAsia"/>
                <w:color w:val="000000"/>
                <w:highlight w:val="none"/>
              </w:rPr>
            </w:r>
            <w:r/>
          </w:p>
          <w:p>
            <w:pPr>
              <w:pStyle w:val="1004"/>
              <w:numPr>
                <w:ilvl w:val="0"/>
                <w:numId w:val="9"/>
              </w:numPr>
              <w:ind w:firstLine="0"/>
              <w:rPr>
                <w:rFonts w:hint="eastAsia"/>
                <w:color w:val="000000"/>
                <w:highlight w:val="none"/>
              </w:rPr>
            </w:pPr>
            <w:r>
              <w:rPr>
                <w:rFonts w:hint="eastAsia"/>
                <w:color w:val="000000"/>
                <w:highlight w:val="none"/>
              </w:rPr>
              <w:t xml:space="preserve">不提供的不得分。</w:t>
            </w:r>
            <w:r>
              <w:rPr>
                <w:rFonts w:hint="eastAsia"/>
                <w:color w:val="000000"/>
                <w:highlight w:val="none"/>
              </w:rPr>
            </w:r>
            <w:r/>
          </w:p>
        </w:tc>
        <w:tc>
          <w:tcPr>
            <w:tcW w:w="1020" w:type="dxa"/>
            <w:vAlign w:val="top"/>
            <w:textDirection w:val="lrTb"/>
            <w:noWrap w:val="false"/>
          </w:tcPr>
          <w:p>
            <w:pPr>
              <w:pStyle w:val="977"/>
              <w:ind w:firstLine="0"/>
              <w:spacing w:line="0" w:lineRule="atLeast"/>
              <w:rPr>
                <w:rFonts w:hint="eastAsia" w:ascii="Times New Roman" w:hAnsi="Times New Roman" w:eastAsia="方正仿宋_GBK"/>
                <w:b/>
                <w:color w:val="000000"/>
                <w:highlight w:val="none"/>
                <w:lang w:eastAsia="zh-CN"/>
              </w:rPr>
            </w:pPr>
            <w:r>
              <w:rPr>
                <w:rFonts w:hint="eastAsia" w:ascii="Times New Roman" w:hAnsi="Times New Roman" w:eastAsia="方正仿宋_GBK"/>
                <w:b/>
                <w:color w:val="000000"/>
                <w:highlight w:val="none"/>
                <w:lang w:val="en-US" w:eastAsia="zh-CN"/>
              </w:rPr>
              <w:t xml:space="preserve">5</w:t>
            </w:r>
            <w:r>
              <w:rPr>
                <w:rFonts w:hint="eastAsia" w:ascii="Times New Roman" w:hAnsi="Times New Roman" w:eastAsia="方正仿宋_GBK"/>
                <w:b/>
                <w:color w:val="000000"/>
                <w:highlight w:val="none"/>
                <w:lang w:eastAsia="zh-CN"/>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r>
            <w:r/>
          </w:p>
        </w:tc>
        <w:tc>
          <w:tcPr>
            <w:tcW w:w="1321" w:type="dxa"/>
            <w:vAlign w:val="top"/>
            <w:vMerge w:val="restart"/>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lang w:val="en-US" w:eastAsia="zh-CN"/>
              </w:rPr>
              <w:t xml:space="preserve">主观分</w:t>
            </w:r>
            <w:r>
              <w:rPr>
                <w:rFonts w:ascii="Times New Roman" w:hAnsi="Times New Roman" w:eastAsia="方正仿宋_GBK"/>
                <w:b/>
                <w:color w:val="000000"/>
                <w:highlight w:val="none"/>
              </w:rPr>
            </w:r>
            <w:r/>
          </w:p>
        </w:tc>
      </w:tr>
      <w:tr>
        <w:trPr>
          <w:trHeight w:val="921"/>
        </w:trPr>
        <w:tc>
          <w:tcPr>
            <w:tcW w:w="766" w:type="dxa"/>
            <w:vAlign w:val="center"/>
            <w:vMerge w:val="continue"/>
            <w:textDirection w:val="lrTb"/>
            <w:noWrap w:val="false"/>
          </w:tcPr>
          <w:p>
            <w:pPr>
              <w:pStyle w:val="1004"/>
              <w:ind w:firstLine="0"/>
              <w:rPr>
                <w:color w:val="000000"/>
                <w:highlight w:val="none"/>
              </w:rPr>
            </w:pPr>
            <w:r>
              <w:rPr>
                <w:color w:val="000000"/>
                <w:highlight w:val="none"/>
              </w:rPr>
            </w:r>
            <w:r/>
          </w:p>
        </w:tc>
        <w:tc>
          <w:tcPr>
            <w:tcW w:w="1425" w:type="dxa"/>
            <w:vAlign w:val="center"/>
            <w:vMerge w:val="continue"/>
            <w:textDirection w:val="lrTb"/>
            <w:noWrap w:val="false"/>
          </w:tcPr>
          <w:p>
            <w:pPr>
              <w:pStyle w:val="1004"/>
              <w:ind w:firstLine="0"/>
              <w:rPr>
                <w:color w:val="000000"/>
                <w:highlight w:val="none"/>
              </w:rPr>
            </w:pPr>
            <w:r>
              <w:rPr>
                <w:color w:val="000000"/>
                <w:highlight w:val="none"/>
              </w:rPr>
            </w:r>
            <w:r/>
          </w:p>
        </w:tc>
        <w:tc>
          <w:tcPr>
            <w:tcW w:w="3525" w:type="dxa"/>
            <w:vAlign w:val="center"/>
            <w:textDirection w:val="lrTb"/>
            <w:noWrap w:val="false"/>
          </w:tcPr>
          <w:p>
            <w:pPr>
              <w:pStyle w:val="1004"/>
              <w:ind w:firstLine="0"/>
              <w:rPr>
                <w:rFonts w:hint="eastAsia" w:ascii="宋体" w:hAnsi="宋体" w:cs="宋体"/>
                <w:color w:val="000000"/>
                <w:sz w:val="22"/>
                <w:highlight w:val="none"/>
                <w:lang w:val="en-US" w:eastAsia="zh-CN"/>
              </w:rPr>
            </w:pPr>
            <w:r>
              <w:rPr>
                <w:color w:val="000000"/>
                <w:spacing w:val="-1"/>
                <w:highlight w:val="none"/>
              </w:rPr>
              <w:t xml:space="preserve">根据供应商提供的售后服务方案</w:t>
            </w:r>
            <w:r>
              <w:rPr>
                <w:rFonts w:hint="eastAsia" w:ascii="宋体" w:hAnsi="宋体" w:cs="宋体"/>
                <w:color w:val="000000"/>
                <w:sz w:val="22"/>
                <w:highlight w:val="none"/>
                <w:lang w:val="en-US" w:eastAsia="zh-CN"/>
              </w:rPr>
              <w:t xml:space="preserve">进行综合评分。</w:t>
            </w:r>
            <w:r>
              <w:rPr>
                <w:rFonts w:hint="eastAsia" w:ascii="宋体" w:hAnsi="宋体" w:cs="宋体"/>
                <w:color w:val="000000"/>
                <w:sz w:val="22"/>
                <w:highlight w:val="none"/>
                <w:lang w:val="en-US" w:eastAsia="zh-CN"/>
              </w:rPr>
            </w:r>
            <w:r/>
          </w:p>
          <w:p>
            <w:pPr>
              <w:pStyle w:val="1004"/>
              <w:numPr>
                <w:ilvl w:val="0"/>
                <w:numId w:val="10"/>
              </w:numPr>
              <w:ind w:firstLine="0"/>
              <w:rPr>
                <w:color w:val="000000"/>
                <w:spacing w:val="1"/>
                <w:highlight w:val="none"/>
              </w:rPr>
            </w:pPr>
            <w:r>
              <w:rPr>
                <w:rFonts w:hint="eastAsia"/>
                <w:color w:val="000000"/>
                <w:spacing w:val="-1"/>
                <w:highlight w:val="none"/>
                <w:lang w:val="en-US" w:eastAsia="zh-CN"/>
              </w:rPr>
              <w:t xml:space="preserve">方案包括</w:t>
            </w:r>
            <w:r>
              <w:rPr>
                <w:color w:val="000000"/>
                <w:spacing w:val="-1"/>
                <w:highlight w:val="none"/>
              </w:rPr>
              <w:t xml:space="preserve">售后服务</w:t>
            </w:r>
            <w:r>
              <w:rPr>
                <w:color w:val="000000"/>
                <w:spacing w:val="10"/>
                <w:highlight w:val="none"/>
              </w:rPr>
              <w:t xml:space="preserve"> </w:t>
            </w:r>
            <w:r>
              <w:rPr>
                <w:color w:val="000000"/>
                <w:spacing w:val="-1"/>
                <w:highlight w:val="none"/>
              </w:rPr>
              <w:t xml:space="preserve">机制、售后服务保障及措施、售后服务人员安排等</w:t>
            </w:r>
            <w:r>
              <w:rPr>
                <w:rFonts w:hint="eastAsia"/>
                <w:color w:val="000000"/>
                <w:spacing w:val="-1"/>
                <w:highlight w:val="none"/>
                <w:lang w:eastAsia="zh-CN"/>
              </w:rPr>
              <w:t xml:space="preserve">，</w:t>
            </w:r>
            <w:r>
              <w:rPr>
                <w:color w:val="000000"/>
                <w:spacing w:val="-2"/>
                <w:highlight w:val="none"/>
              </w:rPr>
              <w:t xml:space="preserve">各项内容详细合理，措施清晰合理的得</w:t>
            </w:r>
            <w:r>
              <w:rPr>
                <w:rFonts w:hint="eastAsia"/>
                <w:color w:val="000000"/>
                <w:spacing w:val="-2"/>
                <w:highlight w:val="none"/>
                <w:lang w:val="en-US" w:eastAsia="zh-CN"/>
              </w:rPr>
              <w:t xml:space="preserve">5</w:t>
            </w:r>
            <w:r>
              <w:rPr>
                <w:color w:val="000000"/>
                <w:spacing w:val="1"/>
                <w:highlight w:val="none"/>
              </w:rPr>
              <w:t xml:space="preserve">分；</w:t>
            </w:r>
            <w:r>
              <w:rPr>
                <w:color w:val="000000"/>
                <w:spacing w:val="1"/>
                <w:highlight w:val="none"/>
              </w:rPr>
            </w:r>
            <w:r/>
          </w:p>
          <w:p>
            <w:pPr>
              <w:pStyle w:val="1004"/>
              <w:numPr>
                <w:ilvl w:val="0"/>
                <w:numId w:val="10"/>
              </w:numPr>
              <w:ind w:firstLine="0"/>
              <w:rPr>
                <w:color w:val="000000"/>
                <w:spacing w:val="-1"/>
                <w:highlight w:val="none"/>
              </w:rPr>
            </w:pPr>
            <w:r>
              <w:rPr>
                <w:color w:val="000000"/>
                <w:spacing w:val="1"/>
                <w:highlight w:val="none"/>
              </w:rPr>
              <w:t xml:space="preserve">售后服务方案各项内容</w:t>
            </w:r>
            <w:r>
              <w:rPr>
                <w:rFonts w:hint="eastAsia"/>
                <w:color w:val="000000"/>
                <w:spacing w:val="1"/>
                <w:highlight w:val="none"/>
                <w:lang w:val="en-US" w:eastAsia="zh-CN"/>
              </w:rPr>
              <w:t xml:space="preserve">不够</w:t>
            </w:r>
            <w:r>
              <w:rPr>
                <w:color w:val="000000"/>
                <w:spacing w:val="1"/>
                <w:highlight w:val="none"/>
              </w:rPr>
              <w:t xml:space="preserve">详细，措施</w:t>
            </w:r>
            <w:r>
              <w:rPr>
                <w:rFonts w:hint="eastAsia"/>
                <w:color w:val="000000"/>
                <w:spacing w:val="1"/>
                <w:highlight w:val="none"/>
                <w:lang w:val="en-US" w:eastAsia="zh-CN"/>
              </w:rPr>
              <w:t xml:space="preserve">不</w:t>
            </w:r>
            <w:r>
              <w:rPr>
                <w:color w:val="000000"/>
                <w:spacing w:val="1"/>
                <w:highlight w:val="none"/>
              </w:rPr>
              <w:t xml:space="preserve">清晰的</w:t>
            </w:r>
            <w:r>
              <w:rPr>
                <w:rFonts w:hint="eastAsia"/>
                <w:color w:val="000000"/>
                <w:highlight w:val="none"/>
                <w:lang w:val="en-US" w:eastAsia="zh-CN"/>
              </w:rPr>
              <w:t xml:space="preserve">2</w:t>
            </w:r>
            <w:r>
              <w:rPr>
                <w:color w:val="000000"/>
                <w:highlight w:val="none"/>
              </w:rPr>
              <w:t xml:space="preserve">分；</w:t>
            </w:r>
            <w:r>
              <w:rPr>
                <w:color w:val="000000"/>
                <w:spacing w:val="-1"/>
                <w:highlight w:val="none"/>
              </w:rPr>
            </w:r>
            <w:r/>
          </w:p>
          <w:p>
            <w:pPr>
              <w:pStyle w:val="1004"/>
              <w:numPr>
                <w:ilvl w:val="0"/>
                <w:numId w:val="10"/>
              </w:numPr>
              <w:ind w:firstLine="0"/>
              <w:rPr>
                <w:color w:val="000000"/>
                <w:spacing w:val="-1"/>
                <w:highlight w:val="none"/>
              </w:rPr>
            </w:pPr>
            <w:r>
              <w:rPr>
                <w:color w:val="000000"/>
                <w:spacing w:val="1"/>
                <w:highlight w:val="none"/>
              </w:rPr>
              <w:t xml:space="preserve">售后服务方案内容</w:t>
            </w:r>
            <w:r>
              <w:rPr>
                <w:rFonts w:hint="eastAsia"/>
                <w:color w:val="000000"/>
                <w:spacing w:val="1"/>
                <w:highlight w:val="none"/>
                <w:lang w:val="en-US" w:eastAsia="zh-CN"/>
              </w:rPr>
              <w:t xml:space="preserve">过于</w:t>
            </w:r>
            <w:r>
              <w:rPr>
                <w:color w:val="000000"/>
                <w:spacing w:val="1"/>
                <w:highlight w:val="none"/>
              </w:rPr>
              <w:t xml:space="preserve">简单的得</w:t>
            </w:r>
            <w:bookmarkStart w:id="201" w:name="OLE_LINK1"/>
            <w:r>
              <w:rPr>
                <w:rFonts w:hint="eastAsia"/>
                <w:color w:val="000000"/>
                <w:spacing w:val="1"/>
                <w:highlight w:val="none"/>
              </w:rPr>
              <w:t xml:space="preserve">1</w:t>
            </w:r>
            <w:bookmarkEnd w:id="201"/>
            <w:r>
              <w:rPr>
                <w:color w:val="000000"/>
                <w:highlight w:val="none"/>
              </w:rPr>
              <w:t xml:space="preserve">分；</w:t>
            </w:r>
            <w:r>
              <w:rPr>
                <w:color w:val="000000"/>
                <w:spacing w:val="-1"/>
                <w:highlight w:val="none"/>
              </w:rPr>
            </w:r>
            <w:r/>
          </w:p>
          <w:p>
            <w:pPr>
              <w:pStyle w:val="1004"/>
              <w:numPr>
                <w:ilvl w:val="0"/>
                <w:numId w:val="10"/>
              </w:numPr>
              <w:ind w:firstLine="0"/>
              <w:rPr>
                <w:color w:val="000000"/>
                <w:spacing w:val="-1"/>
                <w:highlight w:val="none"/>
              </w:rPr>
            </w:pPr>
            <w:r>
              <w:rPr>
                <w:color w:val="000000"/>
                <w:highlight w:val="none"/>
              </w:rPr>
              <w:t xml:space="preserve">不</w:t>
            </w:r>
            <w:r>
              <w:rPr>
                <w:color w:val="000000"/>
                <w:spacing w:val="-3"/>
                <w:highlight w:val="none"/>
              </w:rPr>
              <w:t xml:space="preserve">提供的不得分。</w:t>
            </w:r>
            <w:r>
              <w:rPr>
                <w:color w:val="000000"/>
                <w:spacing w:val="-1"/>
                <w:highlight w:val="none"/>
              </w:rPr>
            </w:r>
            <w:r/>
          </w:p>
        </w:tc>
        <w:tc>
          <w:tcPr>
            <w:tcW w:w="1020" w:type="dxa"/>
            <w:vAlign w:val="top"/>
            <w:textDirection w:val="lrTb"/>
            <w:noWrap w:val="false"/>
          </w:tcPr>
          <w:p>
            <w:pPr>
              <w:pStyle w:val="977"/>
              <w:ind w:firstLine="0"/>
              <w:spacing w:line="0" w:lineRule="atLeast"/>
              <w:rPr>
                <w:color w:val="000000"/>
                <w:spacing w:val="-1"/>
                <w:highlight w:val="none"/>
              </w:rPr>
            </w:pPr>
            <w:r>
              <w:rPr>
                <w:rFonts w:hint="eastAsia" w:ascii="Times New Roman" w:hAnsi="Times New Roman" w:eastAsia="方正仿宋_GBK"/>
                <w:b/>
                <w:color w:val="000000"/>
                <w:highlight w:val="none"/>
              </w:rPr>
              <w:t xml:space="preserve">5</w:t>
            </w:r>
            <w:r>
              <w:rPr>
                <w:color w:val="000000"/>
                <w:spacing w:val="-1"/>
                <w:highlight w:val="none"/>
              </w:rPr>
            </w:r>
            <w:r/>
          </w:p>
        </w:tc>
        <w:tc>
          <w:tcPr>
            <w:tcW w:w="1110" w:type="dxa"/>
            <w:vAlign w:val="top"/>
            <w:textDirection w:val="lrTb"/>
            <w:noWrap w:val="false"/>
          </w:tcPr>
          <w:p>
            <w:pPr>
              <w:pStyle w:val="977"/>
              <w:ind w:firstLine="0"/>
              <w:spacing w:line="0" w:lineRule="atLeast"/>
              <w:rPr>
                <w:rFonts w:hint="eastAsia"/>
                <w:color w:val="000000"/>
                <w:spacing w:val="-1"/>
                <w:highlight w:val="none"/>
              </w:rPr>
            </w:pPr>
            <w:r>
              <w:rPr>
                <w:rFonts w:hint="eastAsia" w:ascii="Times New Roman" w:hAnsi="Times New Roman" w:eastAsia="方正仿宋_GBK"/>
                <w:b/>
                <w:color w:val="000000"/>
                <w:highlight w:val="none"/>
              </w:rPr>
              <w:t xml:space="preserve">0</w:t>
            </w:r>
            <w:r>
              <w:rPr>
                <w:rFonts w:hint="eastAsia"/>
                <w:color w:val="000000"/>
                <w:spacing w:val="-1"/>
                <w:highlight w:val="none"/>
              </w:rPr>
            </w:r>
            <w:r/>
          </w:p>
        </w:tc>
        <w:tc>
          <w:tcPr>
            <w:tcW w:w="1321" w:type="dxa"/>
            <w:vAlign w:val="top"/>
            <w:vMerge w:val="continue"/>
            <w:textDirection w:val="lrTb"/>
            <w:noWrap w:val="false"/>
          </w:tcPr>
          <w:p>
            <w:pPr>
              <w:pStyle w:val="1004"/>
              <w:ind w:firstLine="0"/>
              <w:rPr>
                <w:color w:val="000000"/>
                <w:spacing w:val="-1"/>
                <w:highlight w:val="none"/>
              </w:rPr>
            </w:pPr>
            <w:r>
              <w:rPr>
                <w:color w:val="000000"/>
                <w:spacing w:val="-1"/>
                <w:highlight w:val="none"/>
              </w:rPr>
            </w:r>
            <w:r/>
          </w:p>
        </w:tc>
      </w:tr>
    </w:tbl>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r>
      <w:r/>
    </w:p>
    <w:p>
      <w:pPr>
        <w:pStyle w:val="97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77"/>
        <w:numPr>
          <w:ilvl w:val="0"/>
          <w:numId w:val="7"/>
        </w:numPr>
        <w:ind w:firstLine="482"/>
        <w:spacing w:line="0" w:lineRule="atLeast"/>
        <w:tabs>
          <w:tab w:val="left" w:pos="312" w:leader="none"/>
        </w:tabs>
        <w:rPr>
          <w:rFonts w:ascii="Times New Roman" w:hAnsi="Times New Roman" w:eastAsia="方正仿宋_GBK"/>
          <w:color w:val="000000"/>
          <w:highlight w:val="none"/>
        </w:rPr>
      </w:pPr>
      <w:r>
        <w:rPr>
          <w:rFonts w:ascii="Times New Roman" w:hAnsi="Times New Roman" w:eastAsia="方正仿宋_GBK"/>
          <w:b/>
          <w:color w:val="000000"/>
          <w:highlight w:val="none"/>
        </w:rPr>
        <w:t xml:space="preserve">商务分：</w:t>
      </w:r>
      <w:r>
        <w:rPr>
          <w:rFonts w:hint="eastAsia" w:ascii="Times New Roman" w:hAnsi="Times New Roman" w:eastAsia="方正仿宋_GBK"/>
          <w:b/>
          <w:color w:val="000000"/>
          <w:highlight w:val="none"/>
          <w:lang w:val="en-US" w:eastAsia="zh-CN"/>
        </w:rPr>
        <w:t xml:space="preserve">4</w:t>
      </w: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t xml:space="preserve">分</w:t>
      </w:r>
      <w:r>
        <w:rPr>
          <w:rFonts w:ascii="Times New Roman" w:hAnsi="Times New Roman" w:eastAsia="方正仿宋_GBK"/>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序号</w:t>
            </w:r>
            <w:r>
              <w:rPr>
                <w:rFonts w:ascii="Times New Roman" w:hAnsi="Times New Roman" w:eastAsia="方正仿宋_GBK"/>
                <w:b/>
                <w:color w:val="000000"/>
                <w:highlight w:val="none"/>
              </w:rPr>
            </w:r>
            <w:r/>
          </w:p>
        </w:tc>
        <w:tc>
          <w:tcPr>
            <w:tcW w:w="1425"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评分点名称</w:t>
            </w:r>
            <w:r>
              <w:rPr>
                <w:rFonts w:ascii="Times New Roman" w:hAnsi="Times New Roman" w:eastAsia="方正仿宋_GBK"/>
                <w:b/>
                <w:color w:val="000000"/>
                <w:highlight w:val="none"/>
              </w:rPr>
            </w:r>
            <w:r/>
          </w:p>
        </w:tc>
        <w:tc>
          <w:tcPr>
            <w:tcW w:w="3525" w:type="dxa"/>
            <w:vAlign w:val="top"/>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评审标准</w:t>
            </w:r>
            <w:r>
              <w:rPr>
                <w:rFonts w:ascii="Times New Roman" w:hAnsi="Times New Roman" w:eastAsia="方正仿宋_GBK"/>
                <w:b/>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最高分</w:t>
            </w:r>
            <w:r>
              <w:rPr>
                <w:rFonts w:ascii="Times New Roman" w:hAnsi="Times New Roman" w:eastAsia="方正仿宋_GBK"/>
                <w:b/>
                <w:color w:val="000000"/>
                <w:highlight w:val="none"/>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最低分</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ascii="Times New Roman" w:hAnsi="Times New Roman" w:eastAsia="方正仿宋_GBK"/>
                <w:b/>
                <w:color w:val="000000"/>
                <w:highlight w:val="none"/>
              </w:rPr>
              <w:t xml:space="preserve">主/客观分</w:t>
            </w:r>
            <w:r>
              <w:rPr>
                <w:rFonts w:ascii="Times New Roman" w:hAnsi="Times New Roman" w:eastAsia="方正仿宋_GBK"/>
                <w:b/>
                <w:color w:val="000000"/>
                <w:highlight w:val="none"/>
              </w:rPr>
            </w:r>
            <w:r/>
          </w:p>
        </w:tc>
      </w:tr>
      <w:tr>
        <w:trPr/>
        <w:tc>
          <w:tcPr>
            <w:tcW w:w="766" w:type="dxa"/>
            <w:vAlign w:val="center"/>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1</w:t>
            </w:r>
            <w:r>
              <w:rPr>
                <w:rFonts w:ascii="Times New Roman" w:hAnsi="Times New Roman" w:eastAsia="方正仿宋_GBK"/>
                <w:b/>
                <w:color w:val="000000"/>
                <w:highlight w:val="none"/>
              </w:rPr>
            </w:r>
            <w:r/>
          </w:p>
        </w:tc>
        <w:tc>
          <w:tcPr>
            <w:tcW w:w="1425" w:type="dxa"/>
            <w:vAlign w:val="center"/>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hint="eastAsia" w:ascii="宋体" w:hAnsi="宋体"/>
                <w:color w:val="000000"/>
                <w:highlight w:val="none"/>
              </w:rPr>
              <w:t xml:space="preserve">企业资质</w:t>
            </w:r>
            <w:r>
              <w:rPr>
                <w:rFonts w:ascii="Times New Roman" w:hAnsi="Times New Roman" w:eastAsia="方正仿宋_GBK"/>
                <w:b/>
                <w:color w:val="000000"/>
                <w:highlight w:val="none"/>
              </w:rPr>
            </w:r>
            <w:r/>
          </w:p>
        </w:tc>
        <w:tc>
          <w:tcPr>
            <w:tcW w:w="3525" w:type="dxa"/>
            <w:vAlign w:val="top"/>
            <w:textDirection w:val="lrTb"/>
            <w:noWrap w:val="false"/>
          </w:tcPr>
          <w:p>
            <w:pPr>
              <w:pStyle w:val="1004"/>
              <w:ind w:firstLine="0"/>
              <w:rPr>
                <w:color w:val="000000"/>
                <w:spacing w:val="-1"/>
                <w:highlight w:val="none"/>
              </w:rPr>
            </w:pPr>
            <w:r>
              <w:rPr>
                <w:rFonts w:hint="eastAsia"/>
                <w:color w:val="000000"/>
                <w:spacing w:val="-1"/>
                <w:highlight w:val="none"/>
              </w:rPr>
              <w:t xml:space="preserve">1.供应商具有有效的ISO20000信息技术服务管理体系认证、ISO27001信息安全管理体系认证、ISO9001质量管理体系认证</w:t>
            </w:r>
            <w:r>
              <w:rPr>
                <w:rFonts w:hint="eastAsia"/>
                <w:color w:val="000000"/>
                <w:spacing w:val="-1"/>
                <w:highlight w:val="none"/>
                <w:lang w:val="en-US" w:eastAsia="zh-CN"/>
              </w:rPr>
              <w:t xml:space="preserve">证书</w:t>
            </w:r>
            <w:r>
              <w:rPr>
                <w:rFonts w:hint="eastAsia"/>
                <w:color w:val="000000"/>
                <w:spacing w:val="-1"/>
                <w:highlight w:val="none"/>
              </w:rPr>
              <w:t xml:space="preserve">每提供一项得</w:t>
            </w:r>
            <w:r>
              <w:rPr>
                <w:rFonts w:hint="eastAsia"/>
                <w:color w:val="000000"/>
                <w:spacing w:val="-1"/>
                <w:highlight w:val="none"/>
                <w:lang w:val="en-US" w:eastAsia="zh-CN"/>
              </w:rPr>
              <w:t xml:space="preserve">4</w:t>
            </w:r>
            <w:r>
              <w:rPr>
                <w:rFonts w:hint="eastAsia"/>
                <w:color w:val="000000"/>
                <w:spacing w:val="-1"/>
                <w:highlight w:val="none"/>
              </w:rPr>
              <w:t xml:space="preserve">分，最多</w:t>
            </w:r>
            <w:r>
              <w:rPr>
                <w:rFonts w:hint="eastAsia"/>
                <w:color w:val="000000"/>
                <w:spacing w:val="-1"/>
                <w:highlight w:val="none"/>
                <w:lang w:val="en-US" w:eastAsia="zh-CN"/>
              </w:rPr>
              <w:t xml:space="preserve">12</w:t>
            </w:r>
            <w:r>
              <w:rPr>
                <w:rFonts w:hint="eastAsia"/>
                <w:color w:val="000000"/>
                <w:spacing w:val="-1"/>
                <w:highlight w:val="none"/>
              </w:rPr>
              <w:t xml:space="preserve">分。</w:t>
            </w:r>
            <w:r>
              <w:rPr>
                <w:color w:val="000000"/>
                <w:spacing w:val="-1"/>
                <w:highlight w:val="none"/>
              </w:rPr>
            </w:r>
            <w:r/>
          </w:p>
          <w:p>
            <w:pPr>
              <w:pStyle w:val="1004"/>
              <w:ind w:firstLine="0"/>
              <w:rPr>
                <w:rFonts w:eastAsia="方正仿宋_GBK"/>
                <w:b/>
                <w:color w:val="000000"/>
                <w:highlight w:val="none"/>
              </w:rPr>
            </w:pPr>
            <w:r>
              <w:rPr>
                <w:rFonts w:hint="eastAsia"/>
                <w:color w:val="000000"/>
                <w:spacing w:val="-1"/>
                <w:highlight w:val="none"/>
              </w:rPr>
              <w:t xml:space="preserve">注：提供相关证书复印件并加盖供应商公章，证书需在有效期内。</w:t>
            </w:r>
            <w:r>
              <w:rPr>
                <w:rFonts w:eastAsia="方正仿宋_GBK"/>
                <w:b/>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12</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客观分</w:t>
            </w:r>
            <w:r>
              <w:rPr>
                <w:rFonts w:hint="eastAsia" w:ascii="Times New Roman" w:hAnsi="Times New Roman" w:eastAsia="方正仿宋_GBK"/>
                <w:b/>
                <w:color w:val="000000"/>
                <w:highlight w:val="none"/>
                <w:lang w:val="en-US" w:eastAsia="zh-CN"/>
              </w:rPr>
            </w:r>
            <w:r/>
          </w:p>
        </w:tc>
      </w:tr>
      <w:tr>
        <w:trPr/>
        <w:tc>
          <w:tcPr>
            <w:tcW w:w="766" w:type="dxa"/>
            <w:vAlign w:val="center"/>
            <w:textDirection w:val="lrTb"/>
            <w:noWrap w:val="false"/>
          </w:tcPr>
          <w:p>
            <w:pPr>
              <w:pStyle w:val="977"/>
              <w:ind w:firstLine="0"/>
              <w:jc w:val="center"/>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2</w:t>
            </w:r>
            <w:r>
              <w:rPr>
                <w:rFonts w:ascii="Times New Roman" w:hAnsi="Times New Roman" w:eastAsia="方正仿宋_GBK"/>
                <w:b/>
                <w:color w:val="000000"/>
                <w:highlight w:val="none"/>
              </w:rPr>
            </w:r>
            <w:r/>
          </w:p>
        </w:tc>
        <w:tc>
          <w:tcPr>
            <w:tcW w:w="1425" w:type="dxa"/>
            <w:vAlign w:val="center"/>
            <w:textDirection w:val="lrTb"/>
            <w:noWrap w:val="false"/>
          </w:tcPr>
          <w:p>
            <w:pPr>
              <w:pStyle w:val="977"/>
              <w:ind w:firstLine="0"/>
              <w:jc w:val="center"/>
              <w:spacing w:line="0" w:lineRule="atLeast"/>
              <w:rPr>
                <w:rFonts w:ascii="宋体" w:hAnsi="宋体"/>
                <w:color w:val="000000"/>
                <w:highlight w:val="none"/>
              </w:rPr>
            </w:pPr>
            <w:r>
              <w:rPr>
                <w:rFonts w:hint="eastAsia" w:ascii="宋体" w:hAnsi="宋体"/>
                <w:color w:val="000000"/>
                <w:highlight w:val="none"/>
              </w:rPr>
              <w:t xml:space="preserve">企业业绩</w:t>
            </w:r>
            <w:r>
              <w:rPr>
                <w:rFonts w:ascii="宋体" w:hAnsi="宋体"/>
                <w:color w:val="000000"/>
                <w:highlight w:val="none"/>
              </w:rPr>
            </w:r>
            <w:r/>
          </w:p>
        </w:tc>
        <w:tc>
          <w:tcPr>
            <w:tcW w:w="3525" w:type="dxa"/>
            <w:vAlign w:val="center"/>
            <w:textDirection w:val="lrTb"/>
            <w:noWrap w:val="false"/>
          </w:tcPr>
          <w:p>
            <w:pPr>
              <w:pStyle w:val="1004"/>
              <w:ind w:firstLine="0"/>
              <w:rPr>
                <w:rFonts w:ascii="宋体" w:hAnsi="宋体"/>
                <w:color w:val="000000"/>
                <w:highlight w:val="none"/>
              </w:rPr>
            </w:pPr>
            <w:r>
              <w:rPr>
                <w:rFonts w:hint="eastAsia" w:ascii="宋体" w:hAnsi="宋体"/>
                <w:color w:val="000000"/>
                <w:highlight w:val="none"/>
              </w:rPr>
              <w:t xml:space="preserve">近五年承接过类似软件开发或运维项目的，每提供一个得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分，最高得</w:t>
            </w:r>
            <w:r>
              <w:rPr>
                <w:rFonts w:hint="eastAsia" w:ascii="宋体" w:hAnsi="宋体"/>
                <w:color w:val="000000"/>
                <w:highlight w:val="none"/>
                <w:lang w:val="en-US" w:eastAsia="zh-CN"/>
              </w:rPr>
              <w:t xml:space="preserve">12</w:t>
            </w:r>
            <w:r>
              <w:rPr>
                <w:rFonts w:hint="eastAsia" w:ascii="宋体" w:hAnsi="宋体"/>
                <w:color w:val="000000"/>
                <w:highlight w:val="none"/>
              </w:rPr>
              <w:t xml:space="preserve">分。注：需提供合同复印件，如合同中无法体现业绩内容，须提供加盖业主单位公章的证明材料，否则不予认可。</w:t>
            </w:r>
            <w:r>
              <w:rPr>
                <w:rFonts w:ascii="宋体" w:hAnsi="宋体"/>
                <w:color w:val="000000"/>
                <w:highlight w:val="none"/>
              </w:rPr>
            </w:r>
            <w:r/>
          </w:p>
          <w:p>
            <w:pPr>
              <w:pStyle w:val="1004"/>
              <w:ind w:firstLine="0"/>
              <w:rPr>
                <w:rFonts w:ascii="宋体" w:hAnsi="宋体"/>
                <w:color w:val="000000"/>
                <w:highlight w:val="none"/>
              </w:rPr>
            </w:pPr>
            <w:r>
              <w:rPr>
                <w:rFonts w:hint="eastAsia" w:ascii="宋体" w:hAnsi="宋体"/>
                <w:color w:val="000000"/>
                <w:highlight w:val="none"/>
              </w:rPr>
              <w:t xml:space="preserve">（注：响应文件中须提供有效的业绩合同及验收证明文件扫描件或复印件并加盖公章，不提供不得分）</w:t>
            </w:r>
            <w:r>
              <w:rPr>
                <w:rFonts w:ascii="宋体" w:hAnsi="宋体"/>
                <w:color w:val="000000"/>
                <w:highlight w:val="none"/>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12</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rPr>
              <w:t xml:space="preserve">0</w:t>
            </w:r>
            <w:r>
              <w:rPr>
                <w:rFonts w:ascii="Times New Roman" w:hAnsi="Times New Roman" w:eastAsia="方正仿宋_GBK"/>
                <w:b/>
                <w:color w:val="000000"/>
                <w:highlight w:val="none"/>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lang w:val="en-US" w:eastAsia="zh-CN"/>
              </w:rPr>
              <w:t xml:space="preserve">客观分</w:t>
            </w:r>
            <w:r>
              <w:rPr>
                <w:rFonts w:ascii="Times New Roman" w:hAnsi="Times New Roman" w:eastAsia="方正仿宋_GBK"/>
                <w:b/>
                <w:color w:val="000000"/>
                <w:highlight w:val="none"/>
              </w:rPr>
            </w:r>
            <w:r/>
          </w:p>
        </w:tc>
      </w:tr>
      <w:tr>
        <w:trPr>
          <w:trHeight w:val="771"/>
        </w:trPr>
        <w:tc>
          <w:tcPr>
            <w:tcW w:w="766" w:type="dxa"/>
            <w:vAlign w:val="center"/>
            <w:textDirection w:val="lrTb"/>
            <w:noWrap w:val="false"/>
          </w:tcPr>
          <w:p>
            <w:pPr>
              <w:pStyle w:val="977"/>
              <w:ind w:firstLine="0"/>
              <w:jc w:val="center"/>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3</w:t>
            </w:r>
            <w:r>
              <w:rPr>
                <w:rFonts w:hint="eastAsia" w:ascii="Times New Roman" w:hAnsi="Times New Roman" w:eastAsia="方正仿宋_GBK"/>
                <w:b/>
                <w:color w:val="000000"/>
                <w:highlight w:val="none"/>
                <w:lang w:val="en-US" w:eastAsia="zh-CN"/>
              </w:rPr>
            </w:r>
            <w:r/>
          </w:p>
        </w:tc>
        <w:tc>
          <w:tcPr>
            <w:tcW w:w="1425" w:type="dxa"/>
            <w:vAlign w:val="center"/>
            <w:textDirection w:val="lrTb"/>
            <w:noWrap w:val="false"/>
          </w:tcPr>
          <w:p>
            <w:pPr>
              <w:pStyle w:val="977"/>
              <w:ind w:firstLine="0"/>
              <w:jc w:val="center"/>
              <w:spacing w:line="0" w:lineRule="atLeast"/>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现场开发保障</w:t>
            </w:r>
            <w:r>
              <w:rPr>
                <w:rFonts w:ascii="宋体" w:hAnsi="宋体" w:eastAsia="宋体"/>
                <w:color w:val="000000"/>
                <w:highlight w:val="none"/>
                <w:lang w:val="en-US" w:eastAsia="zh-CN"/>
              </w:rPr>
            </w:r>
            <w:r/>
          </w:p>
        </w:tc>
        <w:tc>
          <w:tcPr>
            <w:tcW w:w="3525" w:type="dxa"/>
            <w:vAlign w:val="center"/>
            <w:textDirection w:val="lrTb"/>
            <w:noWrap w:val="false"/>
          </w:tcPr>
          <w:p>
            <w:pPr>
              <w:pStyle w:val="1004"/>
              <w:ind w:firstLine="0"/>
              <w:rPr>
                <w:rFonts w:hint="eastAsia" w:ascii="宋体" w:hAnsi="宋体"/>
                <w:color w:val="000000"/>
                <w:highlight w:val="none"/>
                <w:lang w:val="en-US" w:eastAsia="zh-CN"/>
              </w:rPr>
            </w:pPr>
            <w:r>
              <w:rPr>
                <w:rFonts w:hint="eastAsia" w:ascii="宋体" w:hAnsi="宋体"/>
                <w:color w:val="000000"/>
                <w:highlight w:val="none"/>
                <w:lang w:val="en-US" w:eastAsia="zh-CN"/>
              </w:rPr>
              <w:t xml:space="preserve">项目建设期间，能够提供1人现场开发的得4分，2人现场开发得8分。</w:t>
            </w:r>
            <w:r>
              <w:rPr>
                <w:rFonts w:hint="eastAsia" w:ascii="宋体" w:hAnsi="宋体"/>
                <w:color w:val="000000"/>
                <w:highlight w:val="none"/>
                <w:lang w:val="en-US" w:eastAsia="zh-CN"/>
              </w:rPr>
            </w:r>
            <w:r/>
          </w:p>
          <w:p>
            <w:pPr>
              <w:pStyle w:val="1004"/>
              <w:ind w:firstLine="0"/>
              <w:rPr>
                <w:rFonts w:ascii="宋体" w:hAnsi="宋体"/>
                <w:color w:val="000000"/>
                <w:highlight w:val="none"/>
                <w:lang w:val="en-US" w:eastAsia="zh-CN"/>
              </w:rPr>
            </w:pPr>
            <w:r>
              <w:rPr>
                <w:rFonts w:hint="eastAsia" w:ascii="宋体" w:hAnsi="宋体"/>
                <w:color w:val="000000"/>
                <w:highlight w:val="none"/>
                <w:lang w:val="en-US" w:eastAsia="zh-CN"/>
              </w:rPr>
              <w:t xml:space="preserve">（注：</w:t>
            </w:r>
            <w:r>
              <w:rPr>
                <w:rFonts w:hint="eastAsia" w:ascii="宋体" w:hAnsi="宋体" w:eastAsia="宋体" w:cs="宋体"/>
                <w:sz w:val="21"/>
                <w:szCs w:val="21"/>
                <w:highlight w:val="none"/>
                <w:lang w:val="en-US" w:eastAsia="zh-CN"/>
              </w:rPr>
              <w:t xml:space="preserve">现场开发</w:t>
            </w:r>
            <w:r>
              <w:rPr>
                <w:rFonts w:hint="eastAsia" w:ascii="宋体" w:hAnsi="宋体" w:eastAsia="宋体" w:cs="宋体"/>
                <w:sz w:val="21"/>
                <w:szCs w:val="21"/>
                <w:highlight w:val="none"/>
                <w:lang w:eastAsia="zh-CN"/>
              </w:rPr>
              <w:t xml:space="preserve">人员须为本单位正式员工，</w:t>
            </w:r>
            <w:r>
              <w:rPr>
                <w:rFonts w:hint="eastAsia" w:ascii="宋体" w:hAnsi="宋体" w:eastAsia="宋体" w:cs="宋体"/>
                <w:sz w:val="21"/>
                <w:szCs w:val="21"/>
                <w:highlight w:val="none"/>
                <w:lang w:val="en-US" w:eastAsia="zh-CN"/>
              </w:rPr>
              <w:t xml:space="preserve">供应商须提供为其缴纳的2025年任意一个月的社保证明材料、现场开发承诺书</w:t>
            </w:r>
            <w:r>
              <w:rPr>
                <w:rFonts w:hint="eastAsia" w:ascii="宋体" w:hAnsi="宋体" w:eastAsia="宋体" w:cs="宋体"/>
                <w:sz w:val="21"/>
                <w:szCs w:val="21"/>
                <w:highlight w:val="none"/>
                <w:lang w:eastAsia="zh-CN"/>
              </w:rPr>
              <w:t xml:space="preserve">并加盖单位公章；</w:t>
            </w:r>
            <w:r>
              <w:rPr>
                <w:rFonts w:hint="eastAsia" w:ascii="宋体" w:hAnsi="宋体" w:eastAsia="宋体" w:cs="宋体"/>
                <w:sz w:val="21"/>
                <w:szCs w:val="21"/>
                <w:highlight w:val="none"/>
                <w:lang w:val="en-US" w:eastAsia="zh-CN"/>
              </w:rPr>
              <w:t xml:space="preserve">未提供</w:t>
            </w:r>
            <w:r>
              <w:rPr>
                <w:rFonts w:hint="eastAsia" w:ascii="宋体" w:hAnsi="宋体" w:eastAsia="宋体" w:cs="宋体"/>
                <w:sz w:val="21"/>
                <w:szCs w:val="21"/>
                <w:highlight w:val="none"/>
                <w:lang w:eastAsia="zh-CN"/>
              </w:rPr>
              <w:t xml:space="preserve">不得分。</w:t>
            </w:r>
            <w:r>
              <w:rPr>
                <w:rFonts w:hint="eastAsia" w:ascii="宋体" w:hAnsi="宋体"/>
                <w:color w:val="000000"/>
                <w:highlight w:val="none"/>
                <w:lang w:val="en-US" w:eastAsia="zh-CN"/>
              </w:rPr>
              <w:t xml:space="preserve">）</w:t>
            </w:r>
            <w:r>
              <w:rPr>
                <w:rFonts w:ascii="宋体" w:hAnsi="宋体"/>
                <w:color w:val="000000"/>
                <w:highlight w:val="none"/>
                <w:lang w:val="en-US" w:eastAsia="zh-CN"/>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8</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0</w:t>
            </w:r>
            <w:r>
              <w:rPr>
                <w:rFonts w:hint="eastAsia" w:ascii="Times New Roman" w:hAnsi="Times New Roman" w:eastAsia="方正仿宋_GBK"/>
                <w:b/>
                <w:color w:val="000000"/>
                <w:highlight w:val="none"/>
                <w:lang w:val="en-US" w:eastAsia="zh-CN"/>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lang w:val="en-US" w:eastAsia="zh-CN"/>
              </w:rPr>
              <w:t xml:space="preserve">客观分</w:t>
            </w:r>
            <w:r>
              <w:rPr>
                <w:rFonts w:ascii="Times New Roman" w:hAnsi="Times New Roman" w:eastAsia="方正仿宋_GBK"/>
                <w:b/>
                <w:color w:val="000000"/>
                <w:highlight w:val="none"/>
              </w:rPr>
            </w:r>
            <w:r/>
          </w:p>
        </w:tc>
      </w:tr>
      <w:tr>
        <w:trPr/>
        <w:tc>
          <w:tcPr>
            <w:tcW w:w="766" w:type="dxa"/>
            <w:vAlign w:val="center"/>
            <w:textDirection w:val="lrTb"/>
            <w:noWrap w:val="false"/>
          </w:tcPr>
          <w:p>
            <w:pPr>
              <w:pStyle w:val="977"/>
              <w:ind w:firstLine="0"/>
              <w:jc w:val="center"/>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4</w:t>
            </w:r>
            <w:r>
              <w:rPr>
                <w:rFonts w:hint="eastAsia" w:ascii="Times New Roman" w:hAnsi="Times New Roman" w:eastAsia="方正仿宋_GBK"/>
                <w:b/>
                <w:color w:val="000000"/>
                <w:highlight w:val="none"/>
                <w:lang w:val="en-US" w:eastAsia="zh-CN"/>
              </w:rPr>
            </w:r>
            <w:r/>
          </w:p>
        </w:tc>
        <w:tc>
          <w:tcPr>
            <w:tcW w:w="1425" w:type="dxa"/>
            <w:vAlign w:val="center"/>
            <w:textDirection w:val="lrTb"/>
            <w:noWrap w:val="false"/>
          </w:tcPr>
          <w:p>
            <w:pPr>
              <w:pStyle w:val="977"/>
              <w:ind w:firstLine="0"/>
              <w:jc w:val="center"/>
              <w:spacing w:line="0" w:lineRule="atLeast"/>
              <w:rPr>
                <w:rFonts w:hint="eastAsia" w:ascii="宋体" w:hAnsi="宋体"/>
                <w:color w:val="000000"/>
                <w:highlight w:val="none"/>
              </w:rPr>
            </w:pPr>
            <w:r>
              <w:rPr>
                <w:rFonts w:hint="eastAsia" w:ascii="宋体" w:hAnsi="宋体"/>
                <w:color w:val="000000"/>
                <w:highlight w:val="none"/>
              </w:rPr>
              <w:t xml:space="preserve">应急响应</w:t>
            </w:r>
            <w:r>
              <w:rPr>
                <w:rFonts w:hint="eastAsia" w:ascii="宋体" w:hAnsi="宋体"/>
                <w:color w:val="000000"/>
                <w:highlight w:val="none"/>
              </w:rPr>
            </w:r>
            <w:r/>
          </w:p>
        </w:tc>
        <w:tc>
          <w:tcPr>
            <w:tcW w:w="3525" w:type="dxa"/>
            <w:vAlign w:val="center"/>
            <w:textDirection w:val="lrTb"/>
            <w:noWrap w:val="false"/>
          </w:tcPr>
          <w:p>
            <w:pPr>
              <w:pStyle w:val="1004"/>
              <w:ind w:firstLine="0"/>
              <w:rPr>
                <w:rFonts w:hint="eastAsia" w:ascii="宋体" w:hAnsi="宋体"/>
                <w:color w:val="000000"/>
                <w:highlight w:val="none"/>
                <w:lang w:val="en-US" w:eastAsia="zh-CN"/>
              </w:rPr>
            </w:pPr>
            <w:r>
              <w:rPr>
                <w:rFonts w:hint="eastAsia" w:ascii="宋体" w:hAnsi="宋体"/>
                <w:color w:val="000000"/>
                <w:highlight w:val="none"/>
                <w:lang w:val="en-US" w:eastAsia="zh-CN"/>
              </w:rPr>
              <w:t xml:space="preserve">供应商具备系统故障、数据安全事件应急响应服务能力，承诺当发生安全事件时能1小时内到现场响应得 8 分，2 小时内到现场响应得 4分，3 小时内到现场响应得 2 分，超过 3 小时到现场响应不得分。提供应急响应承诺函及相关佐证材料并加盖公章。</w:t>
            </w:r>
            <w:r>
              <w:rPr>
                <w:rFonts w:hint="eastAsia" w:ascii="宋体" w:hAnsi="宋体"/>
                <w:color w:val="000000"/>
                <w:highlight w:val="none"/>
                <w:lang w:val="en-US" w:eastAsia="zh-CN"/>
              </w:rPr>
            </w:r>
            <w:r/>
          </w:p>
        </w:tc>
        <w:tc>
          <w:tcPr>
            <w:tcW w:w="1020" w:type="dxa"/>
            <w:vAlign w:val="top"/>
            <w:textDirection w:val="lrTb"/>
            <w:noWrap w:val="false"/>
          </w:tcPr>
          <w:p>
            <w:pPr>
              <w:pStyle w:val="977"/>
              <w:ind w:firstLine="0"/>
              <w:spacing w:line="0" w:lineRule="atLeast"/>
              <w:rPr>
                <w:rFonts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8</w:t>
            </w:r>
            <w:r>
              <w:rPr>
                <w:rFonts w:ascii="Times New Roman" w:hAnsi="Times New Roman" w:eastAsia="方正仿宋_GBK"/>
                <w:b/>
                <w:color w:val="000000"/>
                <w:highlight w:val="none"/>
                <w:lang w:val="en-US" w:eastAsia="zh-CN"/>
              </w:rPr>
            </w:r>
            <w:r/>
          </w:p>
        </w:tc>
        <w:tc>
          <w:tcPr>
            <w:tcW w:w="1110" w:type="dxa"/>
            <w:vAlign w:val="top"/>
            <w:textDirection w:val="lrTb"/>
            <w:noWrap w:val="false"/>
          </w:tcPr>
          <w:p>
            <w:pPr>
              <w:pStyle w:val="977"/>
              <w:ind w:firstLine="0"/>
              <w:spacing w:line="0" w:lineRule="atLeast"/>
              <w:rPr>
                <w:rFonts w:hint="eastAsia" w:ascii="Times New Roman" w:hAnsi="Times New Roman" w:eastAsia="方正仿宋_GBK"/>
                <w:b/>
                <w:color w:val="000000"/>
                <w:highlight w:val="none"/>
                <w:lang w:val="en-US" w:eastAsia="zh-CN"/>
              </w:rPr>
            </w:pPr>
            <w:r>
              <w:rPr>
                <w:rFonts w:hint="eastAsia" w:ascii="Times New Roman" w:hAnsi="Times New Roman" w:eastAsia="方正仿宋_GBK"/>
                <w:b/>
                <w:color w:val="000000"/>
                <w:highlight w:val="none"/>
                <w:lang w:val="en-US" w:eastAsia="zh-CN"/>
              </w:rPr>
              <w:t xml:space="preserve">0</w:t>
            </w:r>
            <w:r>
              <w:rPr>
                <w:rFonts w:hint="eastAsia" w:ascii="Times New Roman" w:hAnsi="Times New Roman" w:eastAsia="方正仿宋_GBK"/>
                <w:b/>
                <w:color w:val="000000"/>
                <w:highlight w:val="none"/>
                <w:lang w:val="en-US" w:eastAsia="zh-CN"/>
              </w:rPr>
            </w:r>
            <w:r/>
          </w:p>
        </w:tc>
        <w:tc>
          <w:tcPr>
            <w:tcW w:w="1321" w:type="dxa"/>
            <w:vAlign w:val="top"/>
            <w:textDirection w:val="lrTb"/>
            <w:noWrap w:val="false"/>
          </w:tcPr>
          <w:p>
            <w:pPr>
              <w:pStyle w:val="977"/>
              <w:ind w:firstLine="0"/>
              <w:spacing w:line="0" w:lineRule="atLeast"/>
              <w:rPr>
                <w:rFonts w:ascii="Times New Roman" w:hAnsi="Times New Roman" w:eastAsia="方正仿宋_GBK"/>
                <w:b/>
                <w:color w:val="000000"/>
                <w:highlight w:val="none"/>
              </w:rPr>
            </w:pPr>
            <w:r>
              <w:rPr>
                <w:rFonts w:hint="eastAsia" w:ascii="Times New Roman" w:hAnsi="Times New Roman" w:eastAsia="方正仿宋_GBK"/>
                <w:b/>
                <w:color w:val="000000"/>
                <w:highlight w:val="none"/>
                <w:lang w:val="en-US" w:eastAsia="zh-CN"/>
              </w:rPr>
              <w:t xml:space="preserve">客观分</w:t>
            </w:r>
            <w:r>
              <w:rPr>
                <w:rFonts w:ascii="Times New Roman" w:hAnsi="Times New Roman" w:eastAsia="方正仿宋_GBK"/>
                <w:b/>
                <w:color w:val="000000"/>
                <w:highlight w:val="none"/>
              </w:rPr>
            </w:r>
            <w:r/>
          </w:p>
        </w:tc>
      </w:tr>
    </w:tbl>
    <w:p>
      <w:pPr>
        <w:pStyle w:val="891"/>
        <w:rPr>
          <w:rFonts w:hint="eastAsia"/>
        </w:rPr>
      </w:pPr>
      <w:r>
        <w:rPr>
          <w:rFonts w:hint="eastAsia"/>
        </w:rPr>
      </w:r>
      <w:r/>
    </w:p>
    <w:p>
      <w:pPr>
        <w:pStyle w:val="891"/>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892"/>
        <w:rPr>
          <w:rFonts w:hint="eastAsia" w:ascii="黑体" w:eastAsia="黑体"/>
          <w:bCs/>
          <w:sz w:val="44"/>
        </w:rPr>
      </w:pPr>
      <w:r>
        <w:rPr>
          <w:rFonts w:hint="eastAsia" w:ascii="黑体" w:eastAsia="黑体"/>
          <w:bCs/>
          <w:sz w:val="44"/>
        </w:rPr>
        <w:t xml:space="preserve">第六章  投标</w:t>
      </w:r>
      <w:bookmarkEnd w:id="195"/>
      <w:r/>
      <w:bookmarkEnd w:id="196"/>
      <w:r/>
      <w:bookmarkEnd w:id="200"/>
      <w:r>
        <w:rPr>
          <w:rFonts w:hint="eastAsia" w:ascii="黑体" w:eastAsia="黑体"/>
          <w:bCs/>
          <w:sz w:val="44"/>
        </w:rPr>
        <w:t xml:space="preserve">文件格式 </w:t>
      </w:r>
      <w:r>
        <w:rPr>
          <w:rFonts w:hint="eastAsia" w:ascii="黑体" w:eastAsia="黑体"/>
          <w:bCs/>
          <w:sz w:val="44"/>
        </w:rPr>
      </w:r>
      <w:r/>
    </w:p>
    <w:p>
      <w:pPr>
        <w:pStyle w:val="891"/>
        <w:jc w:val="center"/>
        <w:rPr>
          <w:rFonts w:hint="eastAsia" w:ascii="宋体" w:hAnsi="宋体"/>
          <w:b/>
          <w:sz w:val="72"/>
        </w:rPr>
      </w:pPr>
      <w:r/>
      <w:bookmarkStart w:id="202" w:name="_Hlt26671244"/>
      <w:r/>
      <w:bookmarkEnd w:id="202"/>
      <w:r/>
      <w:bookmarkStart w:id="203" w:name="_Hlt26955039"/>
      <w:r/>
      <w:bookmarkEnd w:id="203"/>
      <w:r/>
      <w:bookmarkStart w:id="204" w:name="_Toc49090576"/>
      <w:r/>
      <w:bookmarkStart w:id="205" w:name="_Toc26554094"/>
      <w:r/>
      <w:bookmarkStart w:id="206" w:name="_Toc120614282"/>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rPr>
          <w:rFonts w:ascii="宋体" w:hAnsi="宋体"/>
          <w:b/>
          <w:bCs/>
          <w:sz w:val="32"/>
          <w:szCs w:val="32"/>
        </w:rPr>
      </w:pPr>
      <w:r>
        <w:rPr>
          <w:rFonts w:ascii="宋体" w:hAnsi="宋体"/>
          <w:b/>
          <w:bCs/>
          <w:sz w:val="32"/>
          <w:szCs w:val="32"/>
        </w:rPr>
      </w:r>
      <w:r/>
    </w:p>
    <w:p>
      <w:pPr>
        <w:pStyle w:val="957"/>
        <w:rPr>
          <w:rFonts w:ascii="宋体" w:hAnsi="宋体"/>
          <w:b/>
          <w:bCs/>
          <w:sz w:val="32"/>
          <w:szCs w:val="32"/>
        </w:rPr>
      </w:pPr>
      <w:r>
        <w:rPr>
          <w:rFonts w:ascii="宋体" w:hAnsi="宋体"/>
          <w:b/>
          <w:bCs/>
          <w:sz w:val="32"/>
          <w:szCs w:val="32"/>
        </w:rPr>
      </w:r>
      <w:r/>
    </w:p>
    <w:p>
      <w:pPr>
        <w:pStyle w:val="957"/>
        <w:rPr>
          <w:rFonts w:ascii="宋体" w:hAnsi="宋体"/>
          <w:b/>
          <w:bCs/>
          <w:sz w:val="32"/>
          <w:szCs w:val="32"/>
        </w:rPr>
      </w:pPr>
      <w:r>
        <w:rPr>
          <w:rFonts w:ascii="宋体" w:hAnsi="宋体"/>
          <w:b/>
          <w:bCs/>
          <w:sz w:val="32"/>
          <w:szCs w:val="32"/>
        </w:rPr>
      </w:r>
      <w:r/>
    </w:p>
    <w:p>
      <w:pPr>
        <w:pStyle w:val="957"/>
        <w:rPr>
          <w:rFonts w:ascii="宋体" w:hAnsi="宋体"/>
          <w:b/>
          <w:bCs/>
          <w:sz w:val="32"/>
          <w:szCs w:val="32"/>
        </w:rPr>
      </w:pPr>
      <w:r>
        <w:rPr>
          <w:rFonts w:ascii="宋体" w:hAnsi="宋体"/>
          <w:b/>
          <w:bCs/>
          <w:sz w:val="32"/>
          <w:szCs w:val="32"/>
        </w:rPr>
      </w:r>
      <w:r/>
    </w:p>
    <w:p>
      <w:pPr>
        <w:pStyle w:val="957"/>
        <w:rPr>
          <w:rFonts w:ascii="宋体" w:hAnsi="宋体"/>
          <w:b/>
          <w:bCs/>
          <w:sz w:val="32"/>
          <w:szCs w:val="32"/>
        </w:rPr>
      </w:pPr>
      <w:r>
        <w:rPr>
          <w:rFonts w:ascii="宋体" w:hAnsi="宋体"/>
          <w:b/>
          <w:bCs/>
          <w:sz w:val="32"/>
          <w:szCs w:val="32"/>
        </w:rPr>
      </w:r>
      <w:r/>
    </w:p>
    <w:p>
      <w:pPr>
        <w:pStyle w:val="957"/>
        <w:rPr>
          <w:rFonts w:ascii="宋体" w:hAnsi="宋体"/>
          <w:b/>
          <w:bCs/>
          <w:sz w:val="32"/>
          <w:szCs w:val="32"/>
        </w:rPr>
      </w:pPr>
      <w:r>
        <w:rPr>
          <w:rFonts w:ascii="宋体" w:hAnsi="宋体"/>
          <w:b/>
          <w:bCs/>
          <w:sz w:val="32"/>
          <w:szCs w:val="32"/>
        </w:rPr>
      </w:r>
      <w:r/>
    </w:p>
    <w:p>
      <w:pPr>
        <w:pStyle w:val="891"/>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1"/>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w:t>
      </w:r>
      <w:r>
        <w:rPr>
          <w:rFonts w:ascii="Times New Roman" w:hAnsi="Times New Roman" w:eastAsia="方正仿宋_GBK" w:cs="Times New Roman"/>
          <w:color w:val="000000"/>
          <w:sz w:val="24"/>
          <w:szCs w:val="24"/>
        </w:rPr>
      </w:r>
      <w:r/>
    </w:p>
    <w:p>
      <w:pPr>
        <w:pStyle w:val="891"/>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1"/>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891"/>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91"/>
        <w:keepLines w:val="0"/>
        <w:keepNext w:val="0"/>
        <w:pageBreakBefore/>
        <w:widowControl w:val="off"/>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77"/>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1"/>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89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89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89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89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1"/>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5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57"/>
        <w:ind w:left="0" w:firstLine="0"/>
        <w:keepLines w:val="0"/>
        <w:keepNext w:val="0"/>
        <w:pageBreakBefore/>
        <w:widowControl w:val="off"/>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1"/>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5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57"/>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7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7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7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5"/>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75"/>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5"/>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05"/>
        <w:ind w:firstLine="0"/>
        <w:rPr>
          <w:rFonts w:ascii="Times New Roman" w:hAnsi="Times New Roman" w:eastAsia="方正仿宋_GBK" w:cs="Times New Roman"/>
        </w:rPr>
      </w:pPr>
      <w:r>
        <w:rPr>
          <w:rFonts w:ascii="Times New Roman" w:hAnsi="Times New Roman" w:eastAsia="方正仿宋_GBK" w:cs="Times New Roman"/>
        </w:rPr>
      </w:r>
      <w:r/>
    </w:p>
    <w:p>
      <w:pPr>
        <w:pStyle w:val="95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5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57"/>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77"/>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7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7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5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57"/>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w:t>
      </w:r>
      <w:r>
        <w:rPr>
          <w:rFonts w:ascii="Times New Roman" w:hAnsi="Times New Roman" w:eastAsia="方正仿宋_GBK" w:cs="Times New Roman"/>
          <w:b/>
          <w:color w:val="000000"/>
          <w:sz w:val="24"/>
          <w:szCs w:val="24"/>
          <w:lang w:val="en-US" w:eastAsia="zh-CN" w:bidi="ar-SA"/>
        </w:rPr>
      </w:r>
      <w:r/>
    </w:p>
    <w:p>
      <w:pPr>
        <w:pStyle w:val="89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1"/>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1"/>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1"/>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1"/>
        <w:ind w:firstLine="480"/>
        <w:jc w:val="left"/>
        <w:spacing w:line="4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color w:val="000000"/>
          <w:sz w:val="24"/>
          <w:szCs w:val="24"/>
          <w:lang w:val="en-US" w:eastAsia="zh-CN" w:bidi="ar-SA"/>
        </w:rPr>
        <w:t xml:space="preserve">附件9、残疾人福利性单位声明函</w:t>
      </w:r>
      <w:r>
        <w:rPr>
          <w:rFonts w:ascii="Times New Roman" w:hAnsi="Times New Roman" w:eastAsia="方正仿宋_GBK" w:cs="Times New Roman"/>
          <w:b/>
          <w:color w:val="000000"/>
          <w:sz w:val="24"/>
          <w:szCs w:val="24"/>
          <w:lang w:val="en-US" w:eastAsia="zh-CN" w:bidi="ar-SA"/>
        </w:rPr>
      </w:r>
      <w:r/>
    </w:p>
    <w:p>
      <w:pPr>
        <w:pStyle w:val="89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89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1"/>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1"/>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1"/>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1"/>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57"/>
        <w:ind w:left="0" w:firstLine="0"/>
        <w:rPr>
          <w:rFonts w:ascii="Times New Roman" w:hAnsi="Times New Roman" w:eastAsia="方正仿宋_GBK" w:cs="Times New Roman"/>
        </w:rPr>
      </w:pPr>
      <w:r/>
      <w:bookmarkEnd w:id="204"/>
      <w:r/>
      <w:bookmarkEnd w:id="205"/>
      <w:r/>
      <w:bookmarkEnd w:id="206"/>
      <w:r/>
      <w:bookmarkStart w:id="207" w:name="_Toc120614284"/>
      <w:r>
        <w:rPr>
          <w:rFonts w:ascii="Times New Roman" w:hAnsi="Times New Roman" w:eastAsia="方正仿宋_GBK" w:cs="Times New Roman"/>
        </w:rPr>
      </w:r>
      <w:r/>
    </w:p>
    <w:p>
      <w:pPr>
        <w:pStyle w:val="891"/>
        <w:jc w:val="center"/>
        <w:keepLines w:val="0"/>
        <w:keepNext w:val="0"/>
        <w:pageBreakBefore/>
        <w:widowControl w:val="off"/>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1"/>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1"/>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0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pPr>
      <w:r/>
      <w:bookmarkEnd w:id="193"/>
      <w:r/>
      <w:bookmarkEnd w:id="194"/>
      <w:r/>
      <w:bookmarkEnd w:id="207"/>
      <w:r/>
      <w:r/>
    </w:p>
    <w:p>
      <w:pPr>
        <w:pStyle w:val="957"/>
      </w:pPr>
      <w:r/>
      <w:r/>
    </w:p>
    <w:p>
      <w:pPr>
        <w:pStyle w:val="957"/>
      </w:pPr>
      <w:r/>
      <w:r/>
    </w:p>
    <w:p>
      <w:pPr>
        <w:pStyle w:val="891"/>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9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Songti SC Regular">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3"/>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3"/>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3"/>
        <w:rFonts w:hint="eastAsia" w:ascii="方正仿宋_GBK" w:hAnsi="方正仿宋_GBK" w:eastAsia="方正仿宋_GBK" w:cs="方正仿宋_GBK"/>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9"/>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6"/>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6">
    <w:multiLevelType w:val="hybridMultilevel"/>
    <w:lvl w:ilvl="0">
      <w:start w:val="26"/>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8"/>
  </w:num>
  <w:num w:numId="5">
    <w:abstractNumId w:val="6"/>
  </w:num>
  <w:num w:numId="6">
    <w:abstractNumId w:val="0"/>
  </w:num>
  <w:num w:numId="7">
    <w:abstractNumId w:val="2"/>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891"/>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Char"/>
    <w:next w:val="903"/>
    <w:link w:val="892"/>
    <w:rPr>
      <w:rFonts w:ascii="楷体_GB2312" w:hAnsi="Times New Roman" w:eastAsia="楷体_GB2312" w:cs="Times New Roman"/>
      <w:sz w:val="28"/>
      <w:szCs w:val="28"/>
    </w:rPr>
  </w:style>
  <w:style w:type="character" w:styleId="904">
    <w:name w:val="标题 2 Char"/>
    <w:next w:val="904"/>
    <w:link w:val="893"/>
    <w:rPr>
      <w:rFonts w:ascii="Arial" w:hAnsi="Arial" w:eastAsia="幼圆" w:cs="Arial"/>
      <w:b/>
      <w:bCs/>
      <w:sz w:val="44"/>
      <w:szCs w:val="44"/>
    </w:rPr>
  </w:style>
  <w:style w:type="paragraph" w:styleId="905">
    <w:name w:val="正文缩进"/>
    <w:basedOn w:val="891"/>
    <w:next w:val="905"/>
    <w:link w:val="906"/>
    <w:pPr>
      <w:ind w:firstLine="420"/>
    </w:p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4"/>
    <w:rPr>
      <w:rFonts w:ascii="Times New Roman" w:hAnsi="Times New Roman" w:eastAsia="宋体" w:cs="Times New Roman"/>
      <w:b/>
      <w:bCs/>
      <w:sz w:val="32"/>
      <w:szCs w:val="32"/>
    </w:rPr>
  </w:style>
  <w:style w:type="character" w:styleId="908">
    <w:name w:val="标题 4 Char"/>
    <w:next w:val="908"/>
    <w:link w:val="895"/>
    <w:rPr>
      <w:rFonts w:ascii="Arial" w:hAnsi="Arial" w:eastAsia="黑体" w:cs="Arial"/>
      <w:b/>
      <w:bCs/>
      <w:sz w:val="28"/>
      <w:szCs w:val="28"/>
    </w:rPr>
  </w:style>
  <w:style w:type="character" w:styleId="909">
    <w:name w:val="标题 5 Char"/>
    <w:next w:val="909"/>
    <w:link w:val="896"/>
    <w:rPr>
      <w:rFonts w:ascii="宋体" w:hAnsi="Times New Roman" w:eastAsia="宋体" w:cs="Times New Roman"/>
      <w:color w:val="000000"/>
      <w:sz w:val="28"/>
      <w:szCs w:val="28"/>
    </w:rPr>
  </w:style>
  <w:style w:type="character" w:styleId="910">
    <w:name w:val="标题 6 Char"/>
    <w:next w:val="910"/>
    <w:link w:val="897"/>
    <w:rPr>
      <w:rFonts w:ascii="Arial" w:hAnsi="Arial" w:eastAsia="黑体" w:cs="Times New Roman"/>
      <w:b/>
      <w:bCs/>
      <w:sz w:val="24"/>
      <w:szCs w:val="24"/>
    </w:rPr>
  </w:style>
  <w:style w:type="character" w:styleId="911">
    <w:name w:val="标题 7 Char"/>
    <w:next w:val="911"/>
    <w:link w:val="898"/>
    <w:rPr>
      <w:rFonts w:ascii="Times New Roman" w:hAnsi="Times New Roman" w:eastAsia="宋体" w:cs="Times New Roman"/>
      <w:b/>
      <w:bCs/>
      <w:sz w:val="24"/>
      <w:szCs w:val="24"/>
    </w:rPr>
  </w:style>
  <w:style w:type="character" w:styleId="912">
    <w:name w:val="标题 8 Char"/>
    <w:next w:val="912"/>
    <w:link w:val="899"/>
    <w:rPr>
      <w:rFonts w:ascii="Arial" w:hAnsi="Arial" w:eastAsia="黑体" w:cs="Times New Roman"/>
      <w:sz w:val="24"/>
      <w:szCs w:val="24"/>
    </w:rPr>
  </w:style>
  <w:style w:type="character" w:styleId="913">
    <w:name w:val="标题 9 Char"/>
    <w:next w:val="913"/>
    <w:link w:val="900"/>
    <w:rPr>
      <w:rFonts w:ascii="Arial" w:hAnsi="Arial" w:eastAsia="黑体" w:cs="Times New Roman"/>
      <w:szCs w:val="21"/>
    </w:rPr>
  </w:style>
  <w:style w:type="paragraph" w:styleId="914">
    <w:name w:val="列表 3"/>
    <w:basedOn w:val="891"/>
    <w:next w:val="914"/>
    <w:link w:val="891"/>
    <w:pPr>
      <w:ind w:left="100" w:hanging="200"/>
    </w:pPr>
  </w:style>
  <w:style w:type="paragraph" w:styleId="915">
    <w:name w:val="目录 7"/>
    <w:basedOn w:val="891"/>
    <w:next w:val="891"/>
    <w:link w:val="891"/>
    <w:semiHidden/>
    <w:pPr>
      <w:ind w:left="1260"/>
      <w:jc w:val="left"/>
    </w:pPr>
  </w:style>
  <w:style w:type="paragraph" w:styleId="916">
    <w:name w:val="文档结构图"/>
    <w:basedOn w:val="891"/>
    <w:next w:val="916"/>
    <w:link w:val="917"/>
    <w:semiHidden/>
    <w:pPr>
      <w:shd w:val="clear" w:color="auto" w:fill="000080"/>
    </w:p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semiHidden/>
    <w:pPr>
      <w:jc w:val="left"/>
    </w:p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91"/>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91"/>
    <w:next w:val="924"/>
    <w:link w:val="925"/>
    <w:pPr>
      <w:ind w:firstLine="645"/>
    </w:pPr>
    <w:rPr>
      <w:rFonts w:ascii="楷体_GB2312" w:eastAsia="楷体_GB2312"/>
      <w:sz w:val="32"/>
      <w:szCs w:val="32"/>
    </w:rPr>
  </w:style>
  <w:style w:type="character" w:styleId="925">
    <w:name w:val="正文文本缩进 Char"/>
    <w:next w:val="925"/>
    <w:link w:val="924"/>
    <w:rPr>
      <w:rFonts w:ascii="楷体_GB2312" w:hAnsi="Times New Roman" w:eastAsia="楷体_GB2312" w:cs="Times New Roman"/>
      <w:sz w:val="32"/>
      <w:szCs w:val="32"/>
    </w:rPr>
  </w:style>
  <w:style w:type="paragraph" w:styleId="926">
    <w:name w:val="列表 2"/>
    <w:basedOn w:val="891"/>
    <w:next w:val="926"/>
    <w:link w:val="891"/>
    <w:pPr>
      <w:ind w:left="100" w:hanging="200"/>
    </w:pPr>
  </w:style>
  <w:style w:type="paragraph" w:styleId="927">
    <w:name w:val="目录 5"/>
    <w:basedOn w:val="891"/>
    <w:next w:val="891"/>
    <w:link w:val="891"/>
    <w:semiHidden/>
    <w:pPr>
      <w:ind w:left="840"/>
      <w:jc w:val="left"/>
    </w:pPr>
  </w:style>
  <w:style w:type="paragraph" w:styleId="928">
    <w:name w:val="目录 3"/>
    <w:basedOn w:val="891"/>
    <w:next w:val="891"/>
    <w:link w:val="891"/>
    <w:semiHidden/>
    <w:pPr>
      <w:ind w:left="420"/>
      <w:jc w:val="left"/>
    </w:pPr>
    <w:rPr>
      <w:i/>
      <w:iCs/>
      <w:szCs w:val="24"/>
    </w:rPr>
  </w:style>
  <w:style w:type="paragraph" w:styleId="929">
    <w:name w:val="纯文本"/>
    <w:basedOn w:val="891"/>
    <w:next w:val="929"/>
    <w:link w:val="930"/>
    <w:rPr>
      <w:rFonts w:ascii="宋体" w:hAnsi="Courier New" w:cs="Courier New"/>
    </w:rPr>
  </w:style>
  <w:style w:type="character" w:styleId="930">
    <w:name w:val="纯文本 Char"/>
    <w:next w:val="930"/>
    <w:link w:val="929"/>
    <w:rPr>
      <w:rFonts w:ascii="宋体" w:hAnsi="Courier New" w:eastAsia="宋体" w:cs="Courier New"/>
      <w:szCs w:val="21"/>
    </w:rPr>
  </w:style>
  <w:style w:type="paragraph" w:styleId="931">
    <w:name w:val="目录 8"/>
    <w:basedOn w:val="891"/>
    <w:next w:val="891"/>
    <w:link w:val="891"/>
    <w:semiHidden/>
    <w:pPr>
      <w:ind w:left="1470"/>
      <w:jc w:val="left"/>
    </w:pPr>
  </w:style>
  <w:style w:type="paragraph" w:styleId="932">
    <w:name w:val="日期"/>
    <w:basedOn w:val="891"/>
    <w:next w:val="891"/>
    <w:link w:val="933"/>
    <w:rPr>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cs="Arial"/>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1"/>
    <w:next w:val="938"/>
    <w:link w:val="939"/>
    <w:pPr>
      <w:jc w:val="left"/>
      <w:tabs>
        <w:tab w:val="center" w:pos="4153" w:leader="none"/>
        <w:tab w:val="right" w:pos="8306" w:leader="none"/>
      </w:tabs>
    </w:pPr>
    <w:rPr>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页眉"/>
    <w:basedOn w:val="891"/>
    <w:next w:val="940"/>
    <w:link w:val="941"/>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91"/>
    <w:next w:val="891"/>
    <w:link w:val="891"/>
    <w:semiHidden/>
    <w:pPr>
      <w:ind w:left="630"/>
      <w:jc w:val="left"/>
    </w:pPr>
  </w:style>
  <w:style w:type="paragraph" w:styleId="944">
    <w:name w:val="列表"/>
    <w:basedOn w:val="891"/>
    <w:next w:val="944"/>
    <w:link w:val="891"/>
    <w:pPr>
      <w:ind w:left="200" w:hanging="200"/>
    </w:pPr>
  </w:style>
  <w:style w:type="paragraph" w:styleId="945">
    <w:name w:val="目录 6"/>
    <w:basedOn w:val="891"/>
    <w:next w:val="891"/>
    <w:link w:val="891"/>
    <w:semiHidden/>
    <w:pPr>
      <w:ind w:left="1050"/>
      <w:jc w:val="left"/>
    </w:pPr>
  </w:style>
  <w:style w:type="paragraph" w:styleId="946">
    <w:name w:val="正文文本缩进 3"/>
    <w:basedOn w:val="891"/>
    <w:next w:val="946"/>
    <w:link w:val="947"/>
    <w:pPr>
      <w:ind w:left="645" w:firstLine="645"/>
    </w:pPr>
    <w:rPr>
      <w:rFonts w:ascii="Arial" w:hAnsi="Arial" w:eastAsia="仿宋_GB2312" w:cs="Arial"/>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style>
  <w:style w:type="paragraph" w:styleId="949">
    <w:name w:val="目录 2"/>
    <w:basedOn w:val="891"/>
    <w:next w:val="891"/>
    <w:link w:val="891"/>
    <w:semiHidden/>
    <w:pPr>
      <w:ind w:left="210"/>
      <w:jc w:val="left"/>
    </w:pPr>
    <w:rPr>
      <w:smallCaps/>
      <w:szCs w:val="24"/>
    </w:rPr>
  </w:style>
  <w:style w:type="paragraph" w:styleId="950">
    <w:name w:val="目录 9"/>
    <w:basedOn w:val="891"/>
    <w:next w:val="891"/>
    <w:link w:val="891"/>
    <w:semiHidden/>
    <w:pPr>
      <w:ind w:left="1680"/>
      <w:jc w:val="left"/>
    </w:p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普通(网站)"/>
    <w:basedOn w:val="891"/>
    <w:next w:val="953"/>
    <w:link w:val="891"/>
    <w:uiPriority w:val="99"/>
    <w:pPr>
      <w:jc w:val="left"/>
      <w:spacing w:before="100" w:beforeAutospacing="1" w:after="100" w:afterAutospacing="1"/>
      <w:widowControl/>
    </w:pPr>
    <w:rPr>
      <w:rFonts w:ascii="宋体" w:hAnsi="宋体" w:cs="宋体"/>
      <w:sz w:val="24"/>
      <w:szCs w:val="24"/>
    </w:rPr>
  </w:style>
  <w:style w:type="paragraph" w:styleId="954">
    <w:name w:val="索引 1"/>
    <w:basedOn w:val="891"/>
    <w:next w:val="891"/>
    <w:link w:val="891"/>
    <w:semiHidden/>
    <w:pPr>
      <w:spacing w:line="240" w:lineRule="atLeast"/>
    </w:pPr>
    <w:rPr>
      <w:b/>
      <w:bCs/>
    </w:rPr>
  </w:style>
  <w:style w:type="paragraph" w:styleId="955">
    <w:name w:val="批注主题"/>
    <w:basedOn w:val="918"/>
    <w:next w:val="918"/>
    <w:link w:val="956"/>
    <w:semiHidden/>
    <w:rPr>
      <w:b/>
      <w:bCs/>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w:basedOn w:val="922"/>
    <w:next w:val="957"/>
    <w:link w:val="958"/>
    <w:pPr>
      <w:ind w:firstLine="200"/>
      <w:spacing w:line="360" w:lineRule="auto"/>
    </w:pPr>
    <w:rPr>
      <w:rFonts w:ascii="仿宋_GB2312" w:eastAsia="仿宋_GB2312"/>
      <w:sz w:val="30"/>
      <w:szCs w:val="30"/>
    </w:rPr>
  </w:style>
  <w:style w:type="character" w:styleId="958">
    <w:name w:val="正文首行缩进 Char"/>
    <w:next w:val="958"/>
    <w:link w:val="957"/>
    <w:rPr>
      <w:rFonts w:ascii="仿宋_GB2312" w:hAnsi="Times New Roman" w:eastAsia="仿宋_GB2312" w:cs="Times New Roman"/>
      <w:sz w:val="30"/>
      <w:szCs w:val="30"/>
    </w:rPr>
  </w:style>
  <w:style w:type="paragraph" w:styleId="959">
    <w:name w:val="正文首行缩进 2"/>
    <w:basedOn w:val="924"/>
    <w:next w:val="959"/>
    <w:link w:val="960"/>
    <w:pPr>
      <w:ind w:firstLine="420"/>
      <w:spacing w:line="360" w:lineRule="auto"/>
    </w:pPr>
    <w:rPr>
      <w:rFonts w:ascii="宋体" w:hAnsi="宋体" w:eastAsia="宋体"/>
      <w:sz w:val="21"/>
      <w:szCs w:val="20"/>
    </w:rPr>
  </w:style>
  <w:style w:type="character" w:styleId="960">
    <w:name w:val="正文首行缩进 2 Char"/>
    <w:next w:val="960"/>
    <w:link w:val="959"/>
    <w:rPr>
      <w:rFonts w:ascii="宋体" w:hAnsi="宋体" w:eastAsia="宋体" w:cs="Times New Roman"/>
      <w:sz w:val="32"/>
      <w:szCs w:val="20"/>
    </w:rPr>
  </w:style>
  <w:style w:type="table" w:styleId="961">
    <w:name w:val="网格型"/>
    <w:basedOn w:val="902"/>
    <w:next w:val="961"/>
    <w:link w:val="891"/>
    <w:pPr>
      <w:jc w:val="both"/>
      <w:widowControl w:val="off"/>
    </w:pPr>
    <w:rPr>
      <w:rFonts w:ascii="Times New Roman" w:hAnsi="Times New Roman" w:eastAsia="宋体" w:cs="Times New Roman"/>
      <w:sz w:val="20"/>
      <w:szCs w:val="20"/>
    </w:rPr>
    <w:tblPr/>
  </w:style>
  <w:style w:type="character" w:styleId="962">
    <w:name w:val="要点"/>
    <w:next w:val="962"/>
    <w:link w:val="891"/>
    <w:qFormat/>
    <w:rPr>
      <w:b/>
      <w:bCs/>
    </w:rPr>
  </w:style>
  <w:style w:type="character" w:styleId="963">
    <w:name w:val="页码"/>
    <w:next w:val="963"/>
    <w:link w:val="891"/>
  </w:style>
  <w:style w:type="character" w:styleId="964">
    <w:name w:val="已访问的超链接"/>
    <w:next w:val="964"/>
    <w:link w:val="891"/>
    <w:rPr>
      <w:color w:val="800080"/>
      <w:u w:val="single"/>
    </w:rPr>
  </w:style>
  <w:style w:type="character" w:styleId="965">
    <w:name w:val="超链接"/>
    <w:next w:val="965"/>
    <w:link w:val="891"/>
    <w:rPr>
      <w:color w:val="0000ff"/>
      <w:u w:val="single"/>
    </w:rPr>
  </w:style>
  <w:style w:type="character" w:styleId="966">
    <w:name w:val="批注引用"/>
    <w:next w:val="966"/>
    <w:link w:val="891"/>
    <w:semiHidden/>
    <w:rPr>
      <w:sz w:val="21"/>
      <w:szCs w:val="21"/>
    </w:rPr>
  </w:style>
  <w:style w:type="character" w:styleId="967">
    <w:name w:val="font5 Char"/>
    <w:next w:val="967"/>
    <w:link w:val="891"/>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91"/>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91"/>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91"/>
    <w:next w:val="922"/>
    <w:link w:val="891"/>
    <w:pPr>
      <w:spacing w:after="120"/>
    </w:pPr>
    <w:rPr>
      <w:rFonts w:ascii="宋体" w:hAnsi="Arial"/>
      <w:bCs/>
      <w:iCs/>
      <w:szCs w:val="24"/>
    </w:rPr>
  </w:style>
  <w:style w:type="paragraph" w:styleId="973">
    <w:name w:val="xl27"/>
    <w:basedOn w:val="891"/>
    <w:next w:val="97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91"/>
    <w:next w:val="974"/>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91"/>
    <w:next w:val="975"/>
    <w:link w:val="891"/>
    <w:pPr>
      <w:ind w:firstLine="200"/>
      <w:tabs>
        <w:tab w:val="left" w:pos="360" w:leader="none"/>
      </w:tabs>
    </w:pPr>
    <w:rPr>
      <w:sz w:val="28"/>
      <w:szCs w:val="30"/>
    </w:rPr>
  </w:style>
  <w:style w:type="paragraph" w:styleId="976">
    <w:name w:val=" Char"/>
    <w:basedOn w:val="916"/>
    <w:next w:val="976"/>
    <w:link w:val="891"/>
    <w:rPr>
      <w:rFonts w:ascii="Tahoma" w:hAnsi="Tahoma"/>
      <w:sz w:val="24"/>
      <w:szCs w:val="24"/>
    </w:rPr>
  </w:style>
  <w:style w:type="paragraph" w:styleId="977">
    <w:name w:val="普通正文"/>
    <w:basedOn w:val="891"/>
    <w:next w:val="977"/>
    <w:link w:val="891"/>
    <w:pPr>
      <w:ind w:firstLine="480"/>
      <w:jc w:val="left"/>
      <w:spacing w:before="120" w:after="120" w:line="360" w:lineRule="auto"/>
    </w:pPr>
    <w:rPr>
      <w:rFonts w:ascii="Arial" w:hAnsi="Arial"/>
      <w:sz w:val="24"/>
      <w:szCs w:val="24"/>
    </w:rPr>
  </w:style>
  <w:style w:type="paragraph" w:styleId="978">
    <w:name w:val="table_lines"/>
    <w:basedOn w:val="891"/>
    <w:next w:val="978"/>
    <w:link w:val="891"/>
    <w:pPr>
      <w:jc w:val="left"/>
      <w:widowControl/>
    </w:pPr>
    <w:rPr>
      <w:sz w:val="20"/>
      <w:szCs w:val="20"/>
      <w:lang w:val="de-DE" w:eastAsia="de-DE"/>
    </w:rPr>
  </w:style>
  <w:style w:type="paragraph" w:styleId="979">
    <w:name w:val="附录1"/>
    <w:next w:val="979"/>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91"/>
    <w:next w:val="980"/>
    <w:link w:val="891"/>
    <w:pPr>
      <w:jc w:val="left"/>
      <w:spacing w:before="100" w:beforeAutospacing="1" w:after="100" w:afterAutospacing="1"/>
      <w:widowControl/>
    </w:pPr>
    <w:rPr>
      <w:rFonts w:hint="eastAsia" w:ascii="宋体" w:hAnsi="宋体"/>
      <w:sz w:val="18"/>
      <w:szCs w:val="18"/>
    </w:rPr>
  </w:style>
  <w:style w:type="paragraph" w:styleId="981">
    <w:name w:val=" Char Char Char Char"/>
    <w:basedOn w:val="916"/>
    <w:next w:val="981"/>
    <w:link w:val="891"/>
    <w:pPr>
      <w:spacing w:line="360" w:lineRule="auto"/>
    </w:pPr>
    <w:rPr>
      <w:rFonts w:ascii="Tahoma" w:hAnsi="Tahoma"/>
      <w:sz w:val="24"/>
      <w:szCs w:val="24"/>
    </w:rPr>
  </w:style>
  <w:style w:type="paragraph" w:styleId="982">
    <w:name w:val="列出段落"/>
    <w:basedOn w:val="891"/>
    <w:next w:val="982"/>
    <w:link w:val="891"/>
    <w:qFormat/>
    <w:pPr>
      <w:contextualSpacing/>
      <w:ind w:left="720"/>
      <w:jc w:val="left"/>
      <w:widowControl/>
    </w:pPr>
    <w:rPr>
      <w:rFonts w:ascii="Calibri" w:hAnsi="Calibri"/>
      <w:sz w:val="24"/>
      <w:szCs w:val="24"/>
      <w:lang w:eastAsia="en-US" w:bidi="en-US"/>
    </w:rPr>
  </w:style>
  <w:style w:type="paragraph" w:styleId="983">
    <w:name w:val="4"/>
    <w:basedOn w:val="891"/>
    <w:next w:val="946"/>
    <w:link w:val="891"/>
    <w:pPr>
      <w:ind w:firstLine="420"/>
      <w:spacing w:line="360" w:lineRule="auto"/>
    </w:pPr>
    <w:rPr>
      <w:color w:val="ff0000"/>
      <w:sz w:val="24"/>
      <w:szCs w:val="24"/>
    </w:rPr>
  </w:style>
  <w:style w:type="paragraph" w:styleId="984">
    <w:name w:val="普通 (Web)"/>
    <w:basedOn w:val="891"/>
    <w:next w:val="984"/>
    <w:link w:val="891"/>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91"/>
    <w:next w:val="985"/>
    <w:link w:val="891"/>
    <w:pPr>
      <w:spacing w:line="360" w:lineRule="auto"/>
    </w:pPr>
    <w:rPr>
      <w:sz w:val="24"/>
      <w:szCs w:val="20"/>
    </w:rPr>
  </w:style>
  <w:style w:type="paragraph" w:styleId="986">
    <w:name w:val="样式1"/>
    <w:basedOn w:val="891"/>
    <w:next w:val="986"/>
    <w:link w:val="891"/>
    <w:pPr>
      <w:numPr>
        <w:ilvl w:val="0"/>
        <w:numId w:val="3"/>
      </w:numPr>
      <w:tabs>
        <w:tab w:val="left" w:pos="709" w:leader="none"/>
      </w:tabs>
    </w:pPr>
    <w:rPr>
      <w:rFonts w:ascii="宋体" w:hAnsi="宋体"/>
    </w:rPr>
  </w:style>
  <w:style w:type="paragraph" w:styleId="987">
    <w:name w:val="font6"/>
    <w:basedOn w:val="891"/>
    <w:next w:val="987"/>
    <w:link w:val="891"/>
    <w:pPr>
      <w:jc w:val="left"/>
      <w:spacing w:before="100" w:beforeAutospacing="1" w:after="100" w:afterAutospacing="1"/>
      <w:widowControl/>
    </w:pPr>
    <w:rPr>
      <w:rFonts w:hint="eastAsia" w:ascii="宋体" w:hAnsi="宋体"/>
      <w:sz w:val="28"/>
      <w:szCs w:val="28"/>
      <w:u w:val="single"/>
    </w:rPr>
  </w:style>
  <w:style w:type="paragraph" w:styleId="988">
    <w:name w:val="xl25"/>
    <w:basedOn w:val="891"/>
    <w:next w:val="988"/>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91"/>
    <w:next w:val="891"/>
    <w:link w:val="891"/>
    <w:pPr>
      <w:ind w:firstLine="624"/>
      <w:spacing w:line="590" w:lineRule="atLeast"/>
    </w:pPr>
    <w:rPr>
      <w:rFonts w:ascii="方正黑体_GBK" w:eastAsia="方正黑体_GBK"/>
      <w:sz w:val="32"/>
      <w:szCs w:val="32"/>
    </w:rPr>
  </w:style>
  <w:style w:type="paragraph" w:styleId="991">
    <w:name w:val="xl24"/>
    <w:basedOn w:val="891"/>
    <w:next w:val="9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91"/>
    <w:next w:val="992"/>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91"/>
    <w:next w:val="993"/>
    <w:link w:val="891"/>
    <w:pPr>
      <w:jc w:val="left"/>
      <w:spacing w:after="160" w:line="240" w:lineRule="exact"/>
      <w:widowControl/>
    </w:pPr>
    <w:rPr>
      <w:rFonts w:ascii="Verdana" w:hAnsi="Verdana"/>
      <w:sz w:val="20"/>
      <w:szCs w:val="20"/>
      <w:lang w:eastAsia="en-US"/>
    </w:rPr>
  </w:style>
  <w:style w:type="paragraph" w:styleId="994">
    <w:name w:val="xl28"/>
    <w:basedOn w:val="891"/>
    <w:next w:val="994"/>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30"/>
    <w:basedOn w:val="891"/>
    <w:next w:val="996"/>
    <w:link w:val="891"/>
    <w:pPr>
      <w:jc w:val="center"/>
      <w:spacing w:before="100" w:beforeAutospacing="1" w:after="100" w:afterAutospacing="1"/>
      <w:widowControl/>
    </w:pPr>
    <w:rPr>
      <w:rFonts w:ascii="宋体" w:hAnsi="宋体"/>
      <w:b/>
      <w:bCs/>
      <w:sz w:val="36"/>
      <w:szCs w:val="36"/>
    </w:rPr>
  </w:style>
  <w:style w:type="paragraph" w:styleId="997">
    <w:name w:val="Char Char Char Char"/>
    <w:basedOn w:val="916"/>
    <w:next w:val="997"/>
    <w:link w:val="891"/>
    <w:pPr>
      <w:spacing w:line="360" w:lineRule="auto"/>
    </w:pPr>
    <w:rPr>
      <w:rFonts w:ascii="Tahoma" w:hAnsi="Tahoma"/>
      <w:sz w:val="24"/>
      <w:szCs w:val="24"/>
    </w:rPr>
  </w:style>
  <w:style w:type="paragraph" w:styleId="998">
    <w:name w:val="table_1stline"/>
    <w:basedOn w:val="891"/>
    <w:next w:val="998"/>
    <w:link w:val="891"/>
    <w:pPr>
      <w:jc w:val="left"/>
      <w:spacing w:before="120"/>
      <w:widowControl/>
    </w:pPr>
    <w:rPr>
      <w:bCs/>
      <w:sz w:val="20"/>
      <w:szCs w:val="20"/>
      <w:lang w:val="de-DE" w:eastAsia="de-DE"/>
    </w:rPr>
  </w:style>
  <w:style w:type="paragraph" w:styleId="999">
    <w:name w:val="font5"/>
    <w:basedOn w:val="891"/>
    <w:next w:val="999"/>
    <w:link w:val="891"/>
    <w:pPr>
      <w:jc w:val="left"/>
      <w:spacing w:before="100" w:beforeAutospacing="1" w:after="100" w:afterAutospacing="1"/>
      <w:widowControl/>
    </w:pPr>
    <w:rPr>
      <w:rFonts w:hint="eastAsia" w:ascii="宋体" w:hAnsi="宋体"/>
      <w:sz w:val="28"/>
      <w:szCs w:val="28"/>
    </w:rPr>
  </w:style>
  <w:style w:type="paragraph" w:styleId="1000">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91"/>
    <w:uiPriority w:val="99"/>
    <w:semiHidden/>
    <w:rPr>
      <w:rFonts w:ascii="Times New Roman" w:hAnsi="Times New Roman"/>
      <w:sz w:val="21"/>
      <w:szCs w:val="21"/>
      <w:lang w:val="en-US" w:eastAsia="zh-CN" w:bidi="ar-SA"/>
    </w:rPr>
  </w:style>
  <w:style w:type="paragraph" w:styleId="1002">
    <w:name w:val="无间隔"/>
    <w:next w:val="1002"/>
    <w:link w:val="891"/>
    <w:uiPriority w:val="99"/>
    <w:qFormat/>
    <w:pPr>
      <w:jc w:val="both"/>
      <w:widowControl w:val="off"/>
    </w:pPr>
    <w:rPr>
      <w:rFonts w:ascii="Times New Roman" w:hAnsi="Times New Roman"/>
      <w:sz w:val="21"/>
      <w:szCs w:val="21"/>
      <w:lang w:val="en-US" w:eastAsia="zh-CN" w:bidi="ar-SA"/>
    </w:rPr>
  </w:style>
  <w:style w:type="paragraph" w:styleId="1003">
    <w:name w:val="p1"/>
    <w:basedOn w:val="891"/>
    <w:next w:val="1003"/>
    <w:link w:val="891"/>
    <w:qFormat/>
    <w:pPr>
      <w:jc w:val="left"/>
    </w:pPr>
    <w:rPr>
      <w:rFonts w:ascii="Helvetica" w:hAnsi="Helvetica" w:eastAsia="Helvetica" w:cs="Times New Roman"/>
      <w:sz w:val="24"/>
      <w:szCs w:val="24"/>
    </w:rPr>
  </w:style>
  <w:style w:type="paragraph" w:styleId="1004">
    <w:name w:val="正文缩进1"/>
    <w:basedOn w:val="891"/>
    <w:next w:val="1004"/>
    <w:link w:val="891"/>
    <w:qFormat/>
    <w:pPr>
      <w:ind w:firstLine="420"/>
    </w:p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2025-12-03T02:54:07Z</dcterms:modified>
</cp:coreProperties>
</file>